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Verbeteradvies voor de specificatie van EnergyPace / Inspannings Monitor</w:t>
      </w:r>
    </w:p>
    <w:p>
      <w:pPr>
        <w:pStyle w:val="Subtitle"/>
        <w:jc w:val="center"/>
      </w:pPr>
      <w:r>
        <w:t>Analyse van de documenten “inspannings-monitor-specificatie-v04.docx” en “energypace-implementatieplan.docx”</w:t>
        <w:br/>
      </w:r>
      <w:r>
        <w:t>Inclusief externe referentiekaders voor producten met gezondheidsgegevens en andere bijzondere persoonsgegevens</w:t>
        <w:br/>
      </w:r>
      <w:r>
        <w:t>17 april 2026</w:t>
      </w:r>
    </w:p>
    <w:p/>
    <w:p>
      <w:pPr>
        <w:pStyle w:val="Heading1"/>
      </w:pPr>
      <w:r>
        <w:t>Doel en werkwijze</w:t>
      </w:r>
    </w:p>
    <w:p>
      <w:pPr/>
      <w:r>
        <w:t>Dit document beoordeelt de twee aangeleverde Word-documenten inhoudelijk, structureel en regulatoir. De analyse is aangevuld met actuele, officiële bronnen over privacy, klinische veiligheid, informatiebeveiliging en digitale gezondheidsproducten. Het doel is niet alleen om gaten aan te wijzen, maar om een beter, concreter en beter verdedigbaar specificatiekader voor de volgende versie te formuleren.</w:t>
      </w:r>
    </w:p>
    <w:p>
      <w:pPr/>
      <w:r>
        <w:t>Reikwijdte van deze analyse:</w:t>
      </w:r>
    </w:p>
    <w:p>
      <w:pPr>
        <w:pStyle w:val="ListBullet"/>
      </w:pPr>
      <w:r>
        <w:t>Bron 1: “inspannings-monitor-specificatie-v04.docx” (functionele en technische specificatie).</w:t>
      </w:r>
    </w:p>
    <w:p>
      <w:pPr>
        <w:pStyle w:val="ListBullet"/>
      </w:pPr>
      <w:r>
        <w:t>Bron 2: “energypace-implementatieplan.docx” (gefaseerde roadmap en GDPR/launch-vereisten).</w:t>
      </w:r>
    </w:p>
    <w:p>
      <w:pPr>
        <w:pStyle w:val="ListBullet"/>
      </w:pPr>
      <w:r>
        <w:t>Externe toetsing aan officiële kaders zoals GDPR/EDPB, NHS DTAC, NHS DCB0129/DCB0160, HL7 FHIR Security &amp; Privacy, MDCG software guidance en NEN 7510.</w:t>
      </w:r>
    </w:p>
    <w:p>
      <w:pPr/>
      <w:r>
        <w:t>Belangrijke noot: dit advies is sterk inhoudelijk en praktisch, maar vervangt geen formeel juridisch of medisch-regulatoir advies. Voor launch-besluiten over AVG-grondslagen, contracten, MDR-classificatie en eventuele zorgmarktintroductie blijft specialistische toetsing nodig.</w:t>
      </w:r>
    </w:p>
    <w:p>
      <w:pPr>
        <w:pStyle w:val="Heading1"/>
      </w:pPr>
      <w:r>
        <w:t>Managementsamenvatting</w:t>
      </w:r>
    </w:p>
    <w:p>
      <w:pPr/>
      <w:r>
        <w:t>De huidige documenten zijn inhoudelijk veelbelovend: het probleem is scherp geformuleerd, de doelgroep is duidelijk, en de kerncyclus plan-doe-evalueer is goed uitgewerkt voor gebruikers met weinig energie. Tegelijkertijd zijn de stukken nog niet sterk genoeg als product-specificatie voor een applicatie die gezondheidsgegevens, leefstijlgegevens, deelrechten en mogelijk zorgrelevante inzichten verwerkt.</w:t>
      </w:r>
    </w:p>
    <w:p>
      <w:pPr/>
      <w:r>
        <w:t>Mijn hoofdconclusie is dat de grootste tekortkoming niet in UI-detail zit, maar in productgovernance. De documenten mengen visie, requirements, technische keuzes, open beslissingen, roadmap en compliance-randvoorwaarden door elkaar. Daardoor ontbreken een stabiele bron van waarheid, toetsbare eisen en een scherp afgebakende positionering ten opzichte van privacy- en medische kaders.</w:t>
      </w:r>
    </w:p>
    <w:p>
      <w:pPr/>
      <w:r>
        <w:t>De belangrijkste verbeteringen die ik adviseer zijn:</w:t>
      </w:r>
    </w:p>
    <w:p>
      <w:pPr>
        <w:pStyle w:val="ListNumber"/>
      </w:pPr>
      <w:r>
        <w:t>Kies expliciet of de MVP een wellness/self-management product is of een medisch product in wording. Zolang die keuze impliciet blijft, blijven copy, functionaliteit, rapportages en risicoverdeling tegen elkaar in werken.</w:t>
      </w:r>
    </w:p>
    <w:p>
      <w:pPr>
        <w:pStyle w:val="ListNumber"/>
      </w:pPr>
      <w:r>
        <w:t>Voer een DPIA uit voordat echte gebruikers toegang krijgen. Voor dit type verwerking is “later bij schaalvergroting” te laat.</w:t>
      </w:r>
    </w:p>
    <w:p>
      <w:pPr>
        <w:pStyle w:val="ListNumber"/>
      </w:pPr>
      <w:r>
        <w:t>Beperk de datacategorieen in de MVP. Energie, activiteiten en slaap zijn logisch; middelengebruik, nicotine, drugs en medicatie maken het product juridisch en ethisch zwaarder en horen later of in een aparte module.</w:t>
      </w:r>
    </w:p>
    <w:p>
      <w:pPr>
        <w:pStyle w:val="ListNumber"/>
      </w:pPr>
      <w:r>
        <w:t>Herontwerp delen, permissies en auditability. Een read-only dashboard met token-link is voor gezondheidsdata te licht; authenticatie, sterke toegangsbeveiliging en audit logging moeten onderdeel van de kernspecificatie zijn.</w:t>
      </w:r>
    </w:p>
    <w:p>
      <w:pPr>
        <w:pStyle w:val="ListNumber"/>
      </w:pPr>
      <w:r>
        <w:t>Scheid producteisen, veiligheids-/privacy-eisen en implementatieplanning in aparte artefacten, met requirement-ID’s, acceptance criteria en traceerbaarheid.</w:t>
      </w:r>
    </w:p>
    <w:p>
      <w:pPr>
        <w:pStyle w:val="ListNumber"/>
      </w:pPr>
      <w:r>
        <w:t>Breng alle inzichten onder strikte guardrails: minimale steekproeven, transparante regelsets, geen causale claims en geen AI-laag in de kernscope zonder aparte risicoanalyse.</w:t>
      </w:r>
    </w:p>
    <w:p>
      <w:pPr/>
      <w:r>
        <w:t>Als ik een richting moet aanbevelen, dan is dat: kies bewust voor een wellness-first MVP, met een smalle scope en harde privacy/safety-baselines, en houd een eventuele zorg- of medische route pas open nadat bedoeld gebruik, klinische claims en governance professioneel zijn aangescherpt.</w:t>
      </w:r>
    </w:p>
    <w:p>
      <w:pPr>
        <w:pStyle w:val="Heading1"/>
      </w:pPr>
      <w:r>
        <w:t>Wat nu al sterk is</w:t>
      </w:r>
    </w:p>
    <w:p>
      <w:pPr>
        <w:pStyle w:val="ListBullet"/>
      </w:pPr>
      <w:r>
        <w:t>De probleemdefinitie is sterk en herkenbaar voor de doelgroep: onvoorspelbare energie, delayed PEM en de boom-bust cyclus zijn goed verwoord.</w:t>
      </w:r>
    </w:p>
    <w:p>
      <w:pPr>
        <w:pStyle w:val="ListBullet"/>
      </w:pPr>
      <w:r>
        <w:t>De kernprincipes sluiten goed aan bij de doelgroep: minimale log-inspanning, geen oordeel, privacy-first en wetenschappelijk geinformeerd maar toegankelijk.</w:t>
      </w:r>
    </w:p>
    <w:p>
      <w:pPr>
        <w:pStyle w:val="ListBullet"/>
      </w:pPr>
      <w:r>
        <w:t>De functionele flow is goed gekozen: ochtendcheck-in, plannen, uitvoeren, evalueren en later patronen herkennen vormt een logisch gedragsmodel.</w:t>
      </w:r>
    </w:p>
    <w:p>
      <w:pPr>
        <w:pStyle w:val="ListBullet"/>
      </w:pPr>
      <w:r>
        <w:t>De aandacht voor granulaire deelpermissies laat zien dat privacy niet pas achteraf is toegevoegd.</w:t>
      </w:r>
    </w:p>
    <w:p>
      <w:pPr>
        <w:pStyle w:val="ListBullet"/>
      </w:pPr>
      <w:r>
        <w:t>De implementatieroadmap denkt in fasen, wat goed past bij een product met hoog risico op scope creep.</w:t>
      </w:r>
    </w:p>
    <w:p>
      <w:pPr/>
      <w:r>
        <w:t>Deze sterke punten zijn belangrijk om te behouden. Mijn advies is dus niet om de productvisie te vervangen, maar om haar scherper, veiliger en toetsbaarder te maken.</w:t>
      </w:r>
    </w:p>
    <w:p>
      <w:pPr>
        <w:pStyle w:val="Heading1"/>
      </w:pPr>
      <w:r>
        <w:t>Belangrijkste problemen in de huidige documenten</w:t>
      </w:r>
    </w:p>
    <w:p>
      <w:pPr>
        <w:pStyle w:val="Heading2"/>
      </w:pPr>
      <w:r>
        <w:t>1. De documenten spreken elkaar op cruciale punten tegen</w:t>
      </w:r>
    </w:p>
    <w:p>
      <w:pPr/>
      <w:r>
        <w:t>Dat is niet alleen redactioneel lastig; het belemmert ontwerpbesluiten, maakt compliance-review moeilijk en vergroot de kans dat developers op verouderde aannames bouwen.</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728"/>
          </w:tcPr>
          <w:p>
            <w:r>
              <w:rPr>
                <w:b/>
              </w:rPr>
              <w:t>Onderwerp</w:t>
            </w:r>
          </w:p>
        </w:tc>
        <w:tc>
          <w:tcPr>
            <w:tcW w:type="dxa" w:w="2160"/>
          </w:tcPr>
          <w:p>
            <w:r>
              <w:rPr>
                <w:b/>
              </w:rPr>
              <w:t>Specificatie v0.4</w:t>
            </w:r>
          </w:p>
        </w:tc>
        <w:tc>
          <w:tcPr>
            <w:tcW w:type="dxa" w:w="2160"/>
          </w:tcPr>
          <w:p>
            <w:r>
              <w:rPr>
                <w:b/>
              </w:rPr>
              <w:t>Implementatieplan</w:t>
            </w:r>
          </w:p>
        </w:tc>
        <w:tc>
          <w:tcPr>
            <w:tcW w:type="dxa" w:w="2880"/>
          </w:tcPr>
          <w:p>
            <w:r>
              <w:rPr>
                <w:b/>
              </w:rPr>
              <w:t>Waarom dit problematisch is</w:t>
            </w:r>
          </w:p>
        </w:tc>
        <w:tc>
          <w:tcPr>
            <w:tcW w:type="dxa" w:w="2592"/>
          </w:tcPr>
          <w:p>
            <w:r>
              <w:rPr>
                <w:b/>
              </w:rPr>
              <w:t>Advies</w:t>
            </w:r>
          </w:p>
        </w:tc>
      </w:tr>
      <w:tr>
        <w:tc>
          <w:tcPr>
            <w:tcW w:type="dxa" w:w="1728"/>
          </w:tcPr>
          <w:p>
            <w:r>
              <w:t>Authenticatie</w:t>
            </w:r>
          </w:p>
        </w:tc>
        <w:tc>
          <w:tcPr>
            <w:tcW w:type="dxa" w:w="2160"/>
          </w:tcPr>
          <w:p>
            <w:r>
              <w:t>Supabase Auth</w:t>
            </w:r>
          </w:p>
        </w:tc>
        <w:tc>
          <w:tcPr>
            <w:tcW w:type="dxa" w:w="2160"/>
          </w:tcPr>
          <w:p>
            <w:r>
              <w:t>NextAuth/Auth.js v5</w:t>
            </w:r>
          </w:p>
        </w:tc>
        <w:tc>
          <w:tcPr>
            <w:tcW w:type="dxa" w:w="2880"/>
          </w:tcPr>
          <w:p>
            <w:r>
              <w:t>Twee verschillende security- en sessiemodellen</w:t>
            </w:r>
          </w:p>
        </w:tc>
        <w:tc>
          <w:tcPr>
            <w:tcW w:type="dxa" w:w="2592"/>
          </w:tcPr>
          <w:p>
            <w:r>
              <w:t>Kies een definitieve auth-architectuur en maak die leidend.</w:t>
            </w:r>
          </w:p>
        </w:tc>
      </w:tr>
      <w:tr>
        <w:tc>
          <w:tcPr>
            <w:tcW w:type="dxa" w:w="1728"/>
          </w:tcPr>
          <w:p>
            <w:r>
              <w:t>Hosting</w:t>
            </w:r>
          </w:p>
        </w:tc>
        <w:tc>
          <w:tcPr>
            <w:tcW w:type="dxa" w:w="2160"/>
          </w:tcPr>
          <w:p>
            <w:r>
              <w:t>Supabase/Postgres EU (Frankfurt)</w:t>
            </w:r>
          </w:p>
        </w:tc>
        <w:tc>
          <w:tcPr>
            <w:tcW w:type="dxa" w:w="2160"/>
          </w:tcPr>
          <w:p>
            <w:r>
              <w:t>Hetzner + Coolify + Supabase/Neon</w:t>
            </w:r>
          </w:p>
        </w:tc>
        <w:tc>
          <w:tcPr>
            <w:tcW w:type="dxa" w:w="2880"/>
          </w:tcPr>
          <w:p>
            <w:r>
              <w:t>Subverwerkers, threat model en beheergrenzen blijven onduidelijk</w:t>
            </w:r>
          </w:p>
        </w:tc>
        <w:tc>
          <w:tcPr>
            <w:tcW w:type="dxa" w:w="2592"/>
          </w:tcPr>
          <w:p>
            <w:r>
              <w:t>Maak een apart deployment- en subprocessorbesluit.</w:t>
            </w:r>
          </w:p>
        </w:tc>
      </w:tr>
      <w:tr>
        <w:tc>
          <w:tcPr>
            <w:tcW w:type="dxa" w:w="1728"/>
          </w:tcPr>
          <w:p>
            <w:r>
              <w:t>DPIA</w:t>
            </w:r>
          </w:p>
        </w:tc>
        <w:tc>
          <w:tcPr>
            <w:tcW w:type="dxa" w:w="2160"/>
          </w:tcPr>
          <w:p>
            <w:r>
              <w:t>Pas bij schaalvergroting</w:t>
            </w:r>
          </w:p>
        </w:tc>
        <w:tc>
          <w:tcPr>
            <w:tcW w:type="dxa" w:w="2160"/>
          </w:tcPr>
          <w:p>
            <w:r>
              <w:t>Verplicht voor launch</w:t>
            </w:r>
          </w:p>
        </w:tc>
        <w:tc>
          <w:tcPr>
            <w:tcW w:type="dxa" w:w="2880"/>
          </w:tcPr>
          <w:p>
            <w:r>
              <w:t>Directe tegenspraak op een hoog-risico onderwerp</w:t>
            </w:r>
          </w:p>
        </w:tc>
        <w:tc>
          <w:tcPr>
            <w:tcW w:type="dxa" w:w="2592"/>
          </w:tcPr>
          <w:p>
            <w:r>
              <w:t>Volg de strengere lijn: DPIA voor eerste echte gebruikers.</w:t>
            </w:r>
          </w:p>
        </w:tc>
      </w:tr>
      <w:tr>
        <w:tc>
          <w:tcPr>
            <w:tcW w:type="dxa" w:w="1728"/>
          </w:tcPr>
          <w:p>
            <w:r>
              <w:t>Open beslissingen</w:t>
            </w:r>
          </w:p>
        </w:tc>
        <w:tc>
          <w:tcPr>
            <w:tcW w:type="dxa" w:w="2160"/>
          </w:tcPr>
          <w:p>
            <w:r>
              <w:t>Nog 2 open beslispunten</w:t>
            </w:r>
          </w:p>
        </w:tc>
        <w:tc>
          <w:tcPr>
            <w:tcW w:type="dxa" w:w="2160"/>
          </w:tcPr>
          <w:p>
            <w:r>
              <w:t>Alle 20 beslispunten zijn opgelost</w:t>
            </w:r>
          </w:p>
        </w:tc>
        <w:tc>
          <w:tcPr>
            <w:tcW w:type="dxa" w:w="2880"/>
          </w:tcPr>
          <w:p>
            <w:r>
              <w:t>Geen eenduidige bron van waarheid</w:t>
            </w:r>
          </w:p>
        </w:tc>
        <w:tc>
          <w:tcPr>
            <w:tcW w:type="dxa" w:w="2592"/>
          </w:tcPr>
          <w:p>
            <w:r>
              <w:t>Werk met een expliciete decision log/ADR-register.</w:t>
            </w:r>
          </w:p>
        </w:tc>
      </w:tr>
      <w:tr>
        <w:tc>
          <w:tcPr>
            <w:tcW w:type="dxa" w:w="1728"/>
          </w:tcPr>
          <w:p>
            <w:r>
              <w:t>i18n</w:t>
            </w:r>
          </w:p>
        </w:tc>
        <w:tc>
          <w:tcPr>
            <w:tcW w:type="dxa" w:w="2160"/>
          </w:tcPr>
          <w:p>
            <w:r>
              <w:t>Volledig database-gestuurd met DeepL</w:t>
            </w:r>
          </w:p>
        </w:tc>
        <w:tc>
          <w:tcPr>
            <w:tcW w:type="dxa" w:w="2160"/>
          </w:tcPr>
          <w:p>
            <w:r>
              <w:t>MVP hardcoded NL/EN</w:t>
            </w:r>
          </w:p>
        </w:tc>
        <w:tc>
          <w:tcPr>
            <w:tcW w:type="dxa" w:w="2880"/>
          </w:tcPr>
          <w:p>
            <w:r>
              <w:t>Impact op architectuur, vendors en planning</w:t>
            </w:r>
          </w:p>
        </w:tc>
        <w:tc>
          <w:tcPr>
            <w:tcW w:type="dxa" w:w="2592"/>
          </w:tcPr>
          <w:p>
            <w:r>
              <w:t>Behandel i18n als aparte architectuurkeuze per release.</w:t>
            </w:r>
          </w:p>
        </w:tc>
      </w:tr>
      <w:tr>
        <w:tc>
          <w:tcPr>
            <w:tcW w:type="dxa" w:w="1728"/>
          </w:tcPr>
          <w:p>
            <w:r>
              <w:t>Onboarding</w:t>
            </w:r>
          </w:p>
        </w:tc>
        <w:tc>
          <w:tcPr>
            <w:tcW w:type="dxa" w:w="2160"/>
          </w:tcPr>
          <w:p>
            <w:r>
              <w:t>Nog open / roadmap</w:t>
            </w:r>
          </w:p>
        </w:tc>
        <w:tc>
          <w:tcPr>
            <w:tcW w:type="dxa" w:w="2160"/>
          </w:tcPr>
          <w:p>
            <w:r>
              <w:t>Minimale wizard in stap 1</w:t>
            </w:r>
          </w:p>
        </w:tc>
        <w:tc>
          <w:tcPr>
            <w:tcW w:type="dxa" w:w="2880"/>
          </w:tcPr>
          <w:p>
            <w:r>
              <w:t>UX en datamodel veranderen hierdoor</w:t>
            </w:r>
          </w:p>
        </w:tc>
        <w:tc>
          <w:tcPr>
            <w:tcW w:type="dxa" w:w="2592"/>
          </w:tcPr>
          <w:p>
            <w:r>
              <w:t>Maak onboarding expliciet onderdeel van release scope.</w:t>
            </w:r>
          </w:p>
        </w:tc>
      </w:tr>
      <w:tr>
        <w:tc>
          <w:tcPr>
            <w:tcW w:type="dxa" w:w="1728"/>
          </w:tcPr>
          <w:p>
            <w:r>
              <w:t>Slaapkwaliteit</w:t>
            </w:r>
          </w:p>
        </w:tc>
        <w:tc>
          <w:tcPr>
            <w:tcW w:type="dxa" w:w="2160"/>
          </w:tcPr>
          <w:p>
            <w:r>
              <w:t>Vast onderdeel van ochtend check-in</w:t>
            </w:r>
          </w:p>
        </w:tc>
        <w:tc>
          <w:tcPr>
            <w:tcW w:type="dxa" w:w="2160"/>
          </w:tcPr>
          <w:p>
            <w:r>
              <w:t>Optioneel uitklapbaar veld</w:t>
            </w:r>
          </w:p>
        </w:tc>
        <w:tc>
          <w:tcPr>
            <w:tcW w:type="dxa" w:w="2880"/>
          </w:tcPr>
          <w:p>
            <w:r>
              <w:t>Beinvloedt datakwaliteit en analyse</w:t>
            </w:r>
          </w:p>
        </w:tc>
        <w:tc>
          <w:tcPr>
            <w:tcW w:type="dxa" w:w="2592"/>
          </w:tcPr>
          <w:p>
            <w:r>
              <w:t>Kies een vaste regel en documenteer het doel.</w:t>
            </w:r>
          </w:p>
        </w:tc>
      </w:tr>
      <w:tr>
        <w:tc>
          <w:tcPr>
            <w:tcW w:type="dxa" w:w="1728"/>
          </w:tcPr>
          <w:p>
            <w:r>
              <w:t>Energiekosten</w:t>
            </w:r>
          </w:p>
        </w:tc>
        <w:tc>
          <w:tcPr>
            <w:tcW w:type="dxa" w:w="2160"/>
          </w:tcPr>
          <w:p>
            <w:r>
              <w:t>Low/medium/high met suggesties en overschrijven</w:t>
            </w:r>
          </w:p>
        </w:tc>
        <w:tc>
          <w:tcPr>
            <w:tcW w:type="dxa" w:w="2160"/>
          </w:tcPr>
          <w:p>
            <w:r>
              <w:t>Handmatig 1-5 in MVP</w:t>
            </w:r>
          </w:p>
        </w:tc>
        <w:tc>
          <w:tcPr>
            <w:tcW w:type="dxa" w:w="2880"/>
          </w:tcPr>
          <w:p>
            <w:r>
              <w:t>Vergelijkingen en templates worden inconsistent</w:t>
            </w:r>
          </w:p>
        </w:tc>
        <w:tc>
          <w:tcPr>
            <w:tcW w:type="dxa" w:w="2592"/>
          </w:tcPr>
          <w:p>
            <w:r>
              <w:t>Leg 1 model vast per release en versieer later.</w:t>
            </w:r>
          </w:p>
        </w:tc>
      </w:tr>
    </w:tbl>
    <w:p/>
    <w:p>
      <w:pPr>
        <w:pStyle w:val="Heading2"/>
      </w:pPr>
      <w:r>
        <w:t>2. De specificatie mengt verschillende soorten waarheid</w:t>
      </w:r>
    </w:p>
    <w:p>
      <w:pPr/>
      <w:r>
        <w:t>De hoofdtekst bevat tegelijk visie, functionele eisen, toekomstige ideeen, technische keuzes, beslissingen, open vragen, regulatorische aannames en roadmap-elementen. Daardoor is de specificatie minder bruikbaar voor vijf verschillende lezers: product, design, engineering, legal/privacy en externe reviewers. Een goede specificatie voor dit type product moet juist de grens bewaken tussen wat verplicht is, wat een optie is, wat al besloten is en wat nog onderwerp van onderzoek is.</w:t>
      </w:r>
    </w:p>
    <w:p>
      <w:pPr>
        <w:pStyle w:val="Heading2"/>
      </w:pPr>
      <w:r>
        <w:t>3. Het beoogde producttype is inhoudelijk nog te vaag</w:t>
      </w:r>
    </w:p>
    <w:p>
      <w:pPr/>
      <w:r>
        <w:t>De teksten balanceren tussen “zelfmanagement/wellness-tool” en “zorgrelevant hulpmiddel”. Tegelijkertijd worden termen gebruikt als wetenschappelijke basis, PEM-signalen, zorgverleners die meekijken, behandelplan afstemmen, rapporten voor patiëntendossiers en mogelijk AI-gegenereerde suggesties. Dat is inhoudelijk aantrekkelijk, maar regulatoir gevaarlijk zolang niet expliciet is vastgelegd wat het product wel en niet beoogt te doen.</w:t>
      </w:r>
    </w:p>
    <w:p>
      <w:pPr/>
      <w:r>
        <w:t>Hier zit een fundamentele keuze onder:</w:t>
      </w:r>
    </w:p>
    <w:p>
      <w:pPr>
        <w:pStyle w:val="ListBullet"/>
      </w:pPr>
      <w:r>
        <w:t>Wellness-route: de app ondersteunt zelfobservatie, planning en reflectie, zonder diagnose, behandeling of patiëntspecifieke klinische aanbevelingen.</w:t>
      </w:r>
    </w:p>
    <w:p>
      <w:pPr>
        <w:pStyle w:val="ListBullet"/>
      </w:pPr>
      <w:r>
        <w:t>Medische route: de app levert informatie of aanbevelingen met een medisch doel of ondersteunt professionals bij klinisch relevante beslissingen.</w:t>
      </w:r>
    </w:p>
    <w:p>
      <w:pPr/>
      <w:r>
        <w:t>Zonder expliciete keuze zal de copy waarschijnlijk te ambitieus worden, terwijl engineering te weinig veiligheids- en kwaliteitsartefacten bouwt.</w:t>
      </w:r>
    </w:p>
    <w:p>
      <w:pPr>
        <w:pStyle w:val="Heading2"/>
      </w:pPr>
      <w:r>
        <w:t>4. De huidige datascope is voor een MVP te breed</w:t>
      </w:r>
    </w:p>
    <w:p>
      <w:pPr/>
      <w:r>
        <w:t>Voor een eerste versie worden niet alleen energie en activiteiten vastgelegd, maar ook alcohol, nicotine, drugs/middelen, medicatie, slaapgedrag, schermtijd, gemiste maaltijden en vrije notities. Dat maakt de app veel zwaarder dan nodig is om de kernwaarde te bewijzen. Het vergroot ook de gevoeligheid van de data, de kans op misinterpretatie en de inspanning voor consent, security en sharing.</w:t>
      </w:r>
    </w:p>
    <w:p>
      <w:pPr/>
      <w:r>
        <w:t>Mijn advies is om de MVP veel strakker te begrenzen:</w:t>
      </w:r>
    </w:p>
    <w:p>
      <w:pPr>
        <w:pStyle w:val="ListBullet"/>
      </w:pPr>
      <w:r>
        <w:t>Wel in MVP: energie-inschatting, slaapkwaliteit, geplande activiteiten, activiteituitkomst, optionele korte notities, PEM follow-up.</w:t>
      </w:r>
    </w:p>
    <w:p>
      <w:pPr>
        <w:pStyle w:val="ListBullet"/>
      </w:pPr>
      <w:r>
        <w:t>Twijfelgeval: cafeine en slaapgewoontes alleen als optionele uitbreiding, niet standaard actief.</w:t>
      </w:r>
    </w:p>
    <w:p>
      <w:pPr>
        <w:pStyle w:val="ListBullet"/>
      </w:pPr>
      <w:r>
        <w:t>Niet in MVP: drugs/middelen, nicotine, medicatie en PDF-export voor zorgdossiers.</w:t>
      </w:r>
    </w:p>
    <w:p>
      <w:pPr>
        <w:pStyle w:val="Heading2"/>
      </w:pPr>
      <w:r>
        <w:t>5. Delen met anderen is nog te licht uitgewerkt voor gezondheidsdata</w:t>
      </w:r>
    </w:p>
    <w:p>
      <w:pPr/>
      <w:r>
        <w:t>Het idee van granulaire permissies is goed, maar technisch en governance-matig ontbreekt nog te veel om dit veilig te maken. Vooral een route als /shared/[token] is riskant als dat een direct dashboard ontsluit. Bij gezondheidsdata hoort delen niet te steunen op een langdurig bruikbare URL als primaire toegangsvorm.</w:t>
      </w:r>
    </w:p>
    <w:p>
      <w:pPr/>
      <w:r>
        <w:t>Wat nu ontbreekt:</w:t>
      </w:r>
    </w:p>
    <w:p>
      <w:pPr>
        <w:pStyle w:val="ListBullet"/>
      </w:pPr>
      <w:r>
        <w:t>Het verschil tussen een uitnodigingstoken en permanente toegang.</w:t>
      </w:r>
    </w:p>
    <w:p>
      <w:pPr>
        <w:pStyle w:val="ListBullet"/>
      </w:pPr>
      <w:r>
        <w:t>Eisen aan authenticatie van viewers.</w:t>
      </w:r>
    </w:p>
    <w:p>
      <w:pPr>
        <w:pStyle w:val="ListBullet"/>
      </w:pPr>
      <w:r>
        <w:t>Sterke toegangsbeveiliging voor gedeelde dashboards en exportfuncties.</w:t>
      </w:r>
    </w:p>
    <w:p>
      <w:pPr>
        <w:pStyle w:val="ListBullet"/>
      </w:pPr>
      <w:r>
        <w:t>Audit logging van wie wanneer welke data heeft bekeken of geëxporteerd.</w:t>
      </w:r>
    </w:p>
    <w:p>
      <w:pPr>
        <w:pStyle w:val="ListBullet"/>
      </w:pPr>
      <w:r>
        <w:t>Heldere afdwinging van veldniveau-permissies, niet alleen rijniveau-permissies.</w:t>
      </w:r>
    </w:p>
    <w:p>
      <w:pPr>
        <w:pStyle w:val="ListBullet"/>
      </w:pPr>
      <w:r>
        <w:t>Een gebruikersscherm waarin de eigenaar inzage krijgt in recente toegang en exportacties.</w:t>
      </w:r>
    </w:p>
    <w:p>
      <w:pPr/>
      <w:r>
        <w:t>Dit is een plek waar de huidige combinatie van JSON-permissies, RLS en read-only dashboards nog te veel op intentie rust en te weinig op aantoonbare afdwingbaarheid.</w:t>
      </w:r>
    </w:p>
    <w:p>
      <w:pPr>
        <w:pStyle w:val="Heading2"/>
      </w:pPr>
      <w:r>
        <w:t>6. De inzichten-engine vraagt strengere guardrails dan nu beschreven</w:t>
      </w:r>
    </w:p>
    <w:p>
      <w:pPr/>
      <w:r>
        <w:t>Zinnen als “je PEM-kans is 3x hoger” of “je energiescore is gemiddeld 2.3 punten lager” klinken concreet, maar roepen meteen vragen op over meetmethode, minimale steekproef, missing data, confounders en de betekenis van de uitkomst. Juist bij kwetsbare gebruikers kan een schijnbaar feitelijke uitspraak te veel gewicht krijgen.</w:t>
      </w:r>
    </w:p>
    <w:p>
      <w:pPr/>
      <w:r>
        <w:t>Ik zou daarom eisen opnemen voor:</w:t>
      </w:r>
    </w:p>
    <w:p>
      <w:pPr>
        <w:pStyle w:val="ListBullet"/>
      </w:pPr>
      <w:r>
        <w:t>minimale aantallen observaties per inzicht;</w:t>
      </w:r>
    </w:p>
    <w:p>
      <w:pPr>
        <w:pStyle w:val="ListBullet"/>
      </w:pPr>
      <w:r>
        <w:t>expliciete vermelding van n en periode;</w:t>
      </w:r>
    </w:p>
    <w:p>
      <w:pPr>
        <w:pStyle w:val="ListBullet"/>
      </w:pPr>
      <w:r>
        <w:t>geen causale taal, alleen patroon-taal;</w:t>
      </w:r>
    </w:p>
    <w:p>
      <w:pPr>
        <w:pStyle w:val="ListBullet"/>
      </w:pPr>
      <w:r>
        <w:t>een eenvoudige uitleg waarom een inzicht wel of niet getoond wordt;</w:t>
      </w:r>
    </w:p>
    <w:p>
      <w:pPr>
        <w:pStyle w:val="ListBullet"/>
      </w:pPr>
      <w:r>
        <w:t>strikte scheiding tussen transparante regelgebaseerde inzichten en eventueel latere AI-samenvattingen.</w:t>
      </w:r>
    </w:p>
    <w:p>
      <w:pPr>
        <w:pStyle w:val="Heading2"/>
      </w:pPr>
      <w:r>
        <w:t>7. Niet-functionele eisen ontbreken of zijn te impliciet</w:t>
      </w:r>
    </w:p>
    <w:p>
      <w:pPr/>
      <w:r>
        <w:t>Een app met gezondheidsdata heeft meer nodig dan functionele schermbeschrijvingen. Wat nu vooral ontbreekt zijn toetsbare eisen op het gebied van beveiliging, herstel, logging, bewaartermijnen, testbaarheid, incidentrespons, leveranciersbeheer en dataverwijdering. Zonder die eisen ontstaat later veel interpretatieruimte en wordt launch-readiness lastig aantoonbaar.</w:t>
      </w:r>
    </w:p>
    <w:p>
      <w:pPr>
        <w:pStyle w:val="Heading1"/>
      </w:pPr>
      <w:r>
        <w:t>Welke externe voorwaarden hier waarschijnlijk van toepassing zijn</w:t>
      </w:r>
    </w:p>
    <w:p>
      <w:pPr/>
      <w:r>
        <w:t>Deze sectie vertaalt officiële externe kaders naar wat er praktisch in de specificatie moet staan.</w:t>
      </w:r>
    </w:p>
    <w:p>
      <w:pPr>
        <w:pStyle w:val="Heading2"/>
      </w:pPr>
      <w:r>
        <w:t>1. Gezondheidsgegevens vallen onder bijzondere persoonsgegevens</w:t>
      </w:r>
    </w:p>
    <w:p>
      <w:pPr/>
      <w:r>
        <w:t>Volgens de GDPR/AVG zijn gegevens over gezondheid “special categories of personal data”. De verwerking daarvan is in beginsel verboden, behalve onder specifieke voorwaarden, zoals expliciete toestemming. De EDPB benadrukt bovendien dat ook gewoontes, voorkeuren en ingevulde zelfchecks in context gezondheidsdata kunnen worden of daarmee gecombineerd kunnen worden. Voor EnergyPace betekent dit dat energie-scores, PEM-signalen, symptomen, slaapinformatie, medicatielogs en veel leefstijlvelden niet als gewone app-data behandeld kunnen worden.</w:t>
      </w:r>
    </w:p>
    <w:p>
      <w:pPr>
        <w:pStyle w:val="Heading2"/>
      </w:pPr>
      <w:r>
        <w:t>2. Alleen een algemene privacy-first belofte is niet genoeg; privacy by design en by default moet expliciet in het ontwerp zitten</w:t>
      </w:r>
    </w:p>
    <w:p>
      <w:pPr/>
      <w:r>
        <w:t>De EDPB stelt dat organisaties al bij ontwerp en standaardinstellingen moeten borgen dat alleen noodzakelijke persoonsgegevens worden verwerkt, beperkt in hoeveelheid, duur en toegankelijkheid. Concreet betekent dit voor de specificatie dat ieder veld en iedere feature een doel, bewaartermijn, toegangsmodel en standaardinstelling moet krijgen. “Optioneel” is niet hetzelfde als “privacy by default”; de default moet aantoonbaar de minst ingrijpende keuze zijn.</w:t>
      </w:r>
    </w:p>
    <w:p>
      <w:pPr>
        <w:pStyle w:val="Heading2"/>
      </w:pPr>
      <w:r>
        <w:t>3. Een DPIA hoort hier vooraf, niet later</w:t>
      </w:r>
    </w:p>
    <w:p>
      <w:pPr/>
      <w:r>
        <w:t>Officiële EDPB-uitleg noemt een DPIA verplicht wanneer verwerking waarschijnlijk een hoog risico oplevert. Relevante criteria hier zijn: gevoelige gegevens, gegevens van kwetsbare betrokkenen, evaluatie/scoring, mogelijke profiling, innovatieve technologie en delen van data met derden. Juist de combinatie van deze factoren maakt de huidige “DPIA pas bij schaalvergroting” niet houdbaar. Mijn advies is daarom expliciet: voer de DPIA uit voordat externe of pilotgebruikers toegang krijgen.</w:t>
      </w:r>
    </w:p>
    <w:p>
      <w:pPr>
        <w:pStyle w:val="Heading2"/>
      </w:pPr>
      <w:r>
        <w:t>4. Een FG/DPO kan later formeel verplicht worden; governance moet eerder beginnen</w:t>
      </w:r>
    </w:p>
    <w:p>
      <w:pPr/>
      <w:r>
        <w:t>De EDPB geeft aan dat een DPO verplicht kan zijn wanneer de kernactiviteiten bestaan uit grootschalige verwerking van gevoelige gegevens of grootschalige, regelmatige monitoring. Of dat formeel al bij de eerste release geldt, hangt af van schaal en context. Maar zelfs als het nog niet verplicht is, moet de specificatie nu al een privacy-owner, reviewproces en beslisstructuur aanwijzen. Anders blijven grondslagen, bewaartermijnen, leveranciers en deelmodellen stuurloos.</w:t>
      </w:r>
    </w:p>
    <w:p>
      <w:pPr>
        <w:pStyle w:val="Heading2"/>
      </w:pPr>
      <w:r>
        <w:t>5. Toegangsbeveiliging moet zwaarder zijn dan bij een doorsnee SaaS-app</w:t>
      </w:r>
    </w:p>
    <w:p>
      <w:pPr/>
      <w:r>
        <w:t>De Nederlandse AP heeft in handhavingscontexten rond online verwerking van gezondheidsgegevens expliciet sterkere authenticatie-eisen benadrukt. Ook los daarvan volgt uit de aard van de data dat MFA, strikte autorisaties, audit logging en regelmatige toegangscontrole de norm moeten zijn voor beheerders, zorgviewers en exportfuncties. Voor de eigenaar-gebruiker kun je frictie reduceren met device trust en passkeys, maar niet door de beveiligingslat voor gedeelde toegang te verlagen.</w:t>
      </w:r>
    </w:p>
    <w:p>
      <w:pPr>
        <w:pStyle w:val="Heading2"/>
      </w:pPr>
      <w:r>
        <w:t>6. Als het product klinisch bedoeld raakt, komt MDR-beoordeling in beeld</w:t>
      </w:r>
    </w:p>
    <w:p>
      <w:pPr/>
      <w:r>
        <w:t>De Europese MDCG-software guidance benadrukt dat software onder de medical devices-regels kan vallen zodra die meer doet dan opslag/communicatie/simple search en een actie op data uitvoert ten behoeve van individuele patiënten binnen een medisch doel. Dat betekent niet automatisch dat de huidige app al een medisch hulpmiddel is, maar wel dat copy, intended use en clinician-facing functionaliteit zeer zorgvuldig moeten worden begrensd.</w:t>
      </w:r>
    </w:p>
    <w:p>
      <w:pPr>
        <w:pStyle w:val="Heading2"/>
      </w:pPr>
      <w:r>
        <w:t>7. NEN 7510 is geen “medische certificering”, maar wel een belangrijk benchmark</w:t>
      </w:r>
    </w:p>
    <w:p>
      <w:pPr/>
      <w:r>
        <w:t>In de specificatie staat NEN 7510 als “medische certificering”. Dat is inhoudelijk onjuist. NEN 7510 is een norm voor informatiebeveiliging in de zorg. Nictiz omschrijft die norm als eisen en maatregelen voor zorginstellingen en andere beheerders van persoonlijke gezondheidsinformatie. Ook als formele certificering nog niet direct wordt nagestreefd, is het verstandig om de specificatie vanaf het begin te spiegelen aan dit type zorginformatieveiligheidskader, zeker als zorgverleners of zorgorganisaties een doelgroep worden.</w:t>
      </w:r>
    </w:p>
    <w:p>
      <w:pPr>
        <w:pStyle w:val="Heading1"/>
      </w:pPr>
      <w:r>
        <w:t>Wat we kunnen leren van externe voorbeelden en kaders</w:t>
      </w:r>
    </w:p>
    <w:p>
      <w:pPr/>
      <w:r>
        <w:t>Hieronder staan de belangrijkste externe voorbeelden en waarom ze nuttig zijn voor deze specificatie.</w:t>
      </w:r>
    </w:p>
    <w:tbl>
      <w:tblPr>
        <w:tblStyle w:val="TableGrid"/>
        <w:tblW w:type="auto" w:w="0"/>
        <w:tblLook w:firstColumn="1" w:firstRow="1" w:lastColumn="0" w:lastRow="0" w:noHBand="0" w:noVBand="1" w:val="04A0"/>
      </w:tblPr>
      <w:tblGrid>
        <w:gridCol w:w="3312"/>
        <w:gridCol w:w="3312"/>
        <w:gridCol w:w="3312"/>
      </w:tblGrid>
      <w:tr>
        <w:tc>
          <w:tcPr>
            <w:tcW w:type="dxa" w:w="2592"/>
          </w:tcPr>
          <w:p>
            <w:r>
              <w:rPr>
                <w:b/>
              </w:rPr>
              <w:t>Kader / voorbeeld</w:t>
            </w:r>
          </w:p>
        </w:tc>
        <w:tc>
          <w:tcPr>
            <w:tcW w:type="dxa" w:w="3744"/>
          </w:tcPr>
          <w:p>
            <w:r>
              <w:rPr>
                <w:b/>
              </w:rPr>
              <w:t>Wat het laat zien</w:t>
            </w:r>
          </w:p>
        </w:tc>
        <w:tc>
          <w:tcPr>
            <w:tcW w:type="dxa" w:w="3744"/>
          </w:tcPr>
          <w:p>
            <w:r>
              <w:rPr>
                <w:b/>
              </w:rPr>
              <w:t>Wat EnergyPace hiervan moet overnemen</w:t>
            </w:r>
          </w:p>
        </w:tc>
      </w:tr>
      <w:tr>
        <w:tc>
          <w:tcPr>
            <w:tcW w:type="dxa" w:w="2592"/>
          </w:tcPr>
          <w:p>
            <w:r>
              <w:t>NHS DTAC</w:t>
            </w:r>
          </w:p>
        </w:tc>
        <w:tc>
          <w:tcPr>
            <w:tcW w:type="dxa" w:w="3744"/>
          </w:tcPr>
          <w:p>
            <w:r>
              <w:t>Een digitale health specificatie wordt niet alleen op features beoordeeld, maar ook op clinical safety, data protection, technical security, interoperability en usability/accessibility.</w:t>
            </w:r>
          </w:p>
        </w:tc>
        <w:tc>
          <w:tcPr>
            <w:tcW w:type="dxa" w:w="3744"/>
          </w:tcPr>
          <w:p>
            <w:r>
              <w:t>Voeg een aparte niet-functionele hoofdstukindeling toe en verzamel bewijs per domein, niet alleen scherm- of datamodelbeschrijvingen.</w:t>
            </w:r>
          </w:p>
        </w:tc>
      </w:tr>
      <w:tr>
        <w:tc>
          <w:tcPr>
            <w:tcW w:type="dxa" w:w="2592"/>
          </w:tcPr>
          <w:p>
            <w:r>
              <w:t>NHS DCB0129/DCB0160</w:t>
            </w:r>
          </w:p>
        </w:tc>
        <w:tc>
          <w:tcPr>
            <w:tcW w:type="dxa" w:w="3744"/>
          </w:tcPr>
          <w:p>
            <w:r>
              <w:t>Veilige health IT vraagt een risk plan, safety case en hazard log; veiligheid is een artefact, niet een bijzin.</w:t>
            </w:r>
          </w:p>
        </w:tc>
        <w:tc>
          <w:tcPr>
            <w:tcW w:type="dxa" w:w="3744"/>
          </w:tcPr>
          <w:p>
            <w:r>
              <w:t>Maak een apart safety-dossier met bekende gevaren, mitigerende maatregelen, restrisico’s en release-besluiten.</w:t>
            </w:r>
          </w:p>
        </w:tc>
      </w:tr>
      <w:tr>
        <w:tc>
          <w:tcPr>
            <w:tcW w:type="dxa" w:w="2592"/>
          </w:tcPr>
          <w:p>
            <w:r>
              <w:t>HL7 FHIR Security &amp; Privacy</w:t>
            </w:r>
          </w:p>
        </w:tc>
        <w:tc>
          <w:tcPr>
            <w:tcW w:type="dxa" w:w="3744"/>
          </w:tcPr>
          <w:p>
            <w:r>
              <w:t>Consent, audit logging, provenance en access control horen expliciet gemodelleerd te worden.</w:t>
            </w:r>
          </w:p>
        </w:tc>
        <w:tc>
          <w:tcPr>
            <w:tcW w:type="dxa" w:w="3744"/>
          </w:tcPr>
          <w:p>
            <w:r>
              <w:t>Werk delen en consent uit als echte domeinobjecten met status, scope, periode, audit trail en herroepbaarheid.</w:t>
            </w:r>
          </w:p>
        </w:tc>
      </w:tr>
      <w:tr>
        <w:tc>
          <w:tcPr>
            <w:tcW w:type="dxa" w:w="2592"/>
          </w:tcPr>
          <w:p>
            <w:r>
              <w:t>MDCG 2019-11 rev.1</w:t>
            </w:r>
          </w:p>
        </w:tc>
        <w:tc>
          <w:tcPr>
            <w:tcW w:type="dxa" w:w="3744"/>
          </w:tcPr>
          <w:p>
            <w:r>
              <w:t>De kernvraag is intended purpose: welk doel heeft de software voor de individuele gebruiker/patient?</w:t>
            </w:r>
          </w:p>
        </w:tc>
        <w:tc>
          <w:tcPr>
            <w:tcW w:type="dxa" w:w="3744"/>
          </w:tcPr>
          <w:p>
            <w:r>
              <w:t>Schrijf een harde intended-use paragraaf en koppel daar claims, schermteksten en roadmap aan.</w:t>
            </w:r>
          </w:p>
        </w:tc>
      </w:tr>
      <w:tr>
        <w:tc>
          <w:tcPr>
            <w:tcW w:type="dxa" w:w="2592"/>
          </w:tcPr>
          <w:p>
            <w:r>
              <w:t>NEN 7510</w:t>
            </w:r>
          </w:p>
        </w:tc>
        <w:tc>
          <w:tcPr>
            <w:tcW w:type="dxa" w:w="3744"/>
          </w:tcPr>
          <w:p>
            <w:r>
              <w:t>Persoonlijke gezondheidsinformatie vraagt een gecontroleerd proces, vertrouwelijkheid, integriteit en beschikbaarheid.</w:t>
            </w:r>
          </w:p>
        </w:tc>
        <w:tc>
          <w:tcPr>
            <w:tcW w:type="dxa" w:w="3744"/>
          </w:tcPr>
          <w:p>
            <w:r>
              <w:t>Maak informatiebeveiliging onderdeel van de specificatie en niet alleen van infra-implementatie.</w:t>
            </w:r>
          </w:p>
        </w:tc>
      </w:tr>
    </w:tbl>
    <w:p/>
    <w:p>
      <w:pPr/>
      <w:r>
        <w:t>Deze voorbeelden zijn vooral nuttig omdat ze laten zien dat een goede zorg- of healthtech-specificatie drie dingen tegelijk moet kunnen:</w:t>
      </w:r>
    </w:p>
    <w:p>
      <w:pPr>
        <w:pStyle w:val="ListBullet"/>
      </w:pPr>
      <w:r>
        <w:t>duidelijk beschrijven wat het product doet;</w:t>
      </w:r>
    </w:p>
    <w:p>
      <w:pPr>
        <w:pStyle w:val="ListBullet"/>
      </w:pPr>
      <w:r>
        <w:t>aantonen hoe privacy, veiligheid en klinische risico’s worden beheerst;</w:t>
      </w:r>
    </w:p>
    <w:p>
      <w:pPr>
        <w:pStyle w:val="ListBullet"/>
      </w:pPr>
      <w:r>
        <w:t>per release zichtbaar maken welk bewijs en welke controles daarbij horen.</w:t>
      </w:r>
    </w:p>
    <w:p>
      <w:pPr>
        <w:pStyle w:val="Heading1"/>
      </w:pPr>
      <w:r>
        <w:t>Hoe de specificatie inhoudelijk beter kan worden</w:t>
      </w:r>
    </w:p>
    <w:p>
      <w:pPr>
        <w:pStyle w:val="Heading2"/>
      </w:pPr>
      <w:r>
        <w:t>1. Splits de documentatie op in een klein maar duidelijk artefactenpakket</w:t>
      </w:r>
    </w:p>
    <w:tbl>
      <w:tblPr>
        <w:tblStyle w:val="TableGrid"/>
        <w:tblW w:type="auto" w:w="0"/>
        <w:tblLook w:firstColumn="1" w:firstRow="1" w:lastColumn="0" w:lastRow="0" w:noHBand="0" w:noVBand="1" w:val="04A0"/>
      </w:tblPr>
      <w:tblGrid>
        <w:gridCol w:w="3312"/>
        <w:gridCol w:w="3312"/>
        <w:gridCol w:w="3312"/>
      </w:tblGrid>
      <w:tr>
        <w:tc>
          <w:tcPr>
            <w:tcW w:type="dxa" w:w="2592"/>
          </w:tcPr>
          <w:p>
            <w:r>
              <w:rPr>
                <w:b/>
              </w:rPr>
              <w:t>Artefact</w:t>
            </w:r>
          </w:p>
        </w:tc>
        <w:tc>
          <w:tcPr>
            <w:tcW w:type="dxa" w:w="2592"/>
          </w:tcPr>
          <w:p>
            <w:r>
              <w:rPr>
                <w:b/>
              </w:rPr>
              <w:t>Doel</w:t>
            </w:r>
          </w:p>
        </w:tc>
        <w:tc>
          <w:tcPr>
            <w:tcW w:type="dxa" w:w="5184"/>
          </w:tcPr>
          <w:p>
            <w:r>
              <w:rPr>
                <w:b/>
              </w:rPr>
              <w:t>Inhoud</w:t>
            </w:r>
          </w:p>
        </w:tc>
      </w:tr>
      <w:tr>
        <w:tc>
          <w:tcPr>
            <w:tcW w:type="dxa" w:w="2592"/>
          </w:tcPr>
          <w:p>
            <w:r>
              <w:t>Productvisie / PRD</w:t>
            </w:r>
          </w:p>
        </w:tc>
        <w:tc>
          <w:tcPr>
            <w:tcW w:type="dxa" w:w="2592"/>
          </w:tcPr>
          <w:p>
            <w:r>
              <w:t>Waarom en voor wie</w:t>
            </w:r>
          </w:p>
        </w:tc>
        <w:tc>
          <w:tcPr>
            <w:tcW w:type="dxa" w:w="5184"/>
          </w:tcPr>
          <w:p>
            <w:r>
              <w:t>Probleem, doelgroep, waardepropositie, release-doelen, out-of-scope.</w:t>
            </w:r>
          </w:p>
        </w:tc>
      </w:tr>
      <w:tr>
        <w:tc>
          <w:tcPr>
            <w:tcW w:type="dxa" w:w="2592"/>
          </w:tcPr>
          <w:p>
            <w:r>
              <w:t>Functionele specificatie</w:t>
            </w:r>
          </w:p>
        </w:tc>
        <w:tc>
          <w:tcPr>
            <w:tcW w:type="dxa" w:w="2592"/>
          </w:tcPr>
          <w:p>
            <w:r>
              <w:t>Wat het product moet doen</w:t>
            </w:r>
          </w:p>
        </w:tc>
        <w:tc>
          <w:tcPr>
            <w:tcW w:type="dxa" w:w="5184"/>
          </w:tcPr>
          <w:p>
            <w:r>
              <w:t>Requirements met ID’s, user flows, states, validaties, acceptance criteria.</w:t>
            </w:r>
          </w:p>
        </w:tc>
      </w:tr>
      <w:tr>
        <w:tc>
          <w:tcPr>
            <w:tcW w:type="dxa" w:w="2592"/>
          </w:tcPr>
          <w:p>
            <w:r>
              <w:t>Privacy- en security-specificatie</w:t>
            </w:r>
          </w:p>
        </w:tc>
        <w:tc>
          <w:tcPr>
            <w:tcW w:type="dxa" w:w="2592"/>
          </w:tcPr>
          <w:p>
            <w:r>
              <w:t>Hoe data veilig en rechtmatig wordt verwerkt</w:t>
            </w:r>
          </w:p>
        </w:tc>
        <w:tc>
          <w:tcPr>
            <w:tcW w:type="dxa" w:w="5184"/>
          </w:tcPr>
          <w:p>
            <w:r>
              <w:t>Datacatalogus, grondslagen, rollen, toegangen, bewaartermijnen, logging, incidenten.</w:t>
            </w:r>
          </w:p>
        </w:tc>
      </w:tr>
      <w:tr>
        <w:tc>
          <w:tcPr>
            <w:tcW w:type="dxa" w:w="2592"/>
          </w:tcPr>
          <w:p>
            <w:r>
              <w:t>Safety file</w:t>
            </w:r>
          </w:p>
        </w:tc>
        <w:tc>
          <w:tcPr>
            <w:tcW w:type="dxa" w:w="2592"/>
          </w:tcPr>
          <w:p>
            <w:r>
              <w:t>Hoe productrisico’s worden beheerst</w:t>
            </w:r>
          </w:p>
        </w:tc>
        <w:tc>
          <w:tcPr>
            <w:tcW w:type="dxa" w:w="5184"/>
          </w:tcPr>
          <w:p>
            <w:r>
              <w:t>Hazard log, safety case, restrisico’s, mitigaties, release-acceptatie.</w:t>
            </w:r>
          </w:p>
        </w:tc>
      </w:tr>
      <w:tr>
        <w:tc>
          <w:tcPr>
            <w:tcW w:type="dxa" w:w="2592"/>
          </w:tcPr>
          <w:p>
            <w:r>
              <w:t>Technische architectuur</w:t>
            </w:r>
          </w:p>
        </w:tc>
        <w:tc>
          <w:tcPr>
            <w:tcW w:type="dxa" w:w="2592"/>
          </w:tcPr>
          <w:p>
            <w:r>
              <w:t>Hoe het systeem is opgebouwd</w:t>
            </w:r>
          </w:p>
        </w:tc>
        <w:tc>
          <w:tcPr>
            <w:tcW w:type="dxa" w:w="5184"/>
          </w:tcPr>
          <w:p>
            <w:r>
              <w:t>Stack, componenten, trust boundaries, hosting, integraties, encryption, secrets.</w:t>
            </w:r>
          </w:p>
        </w:tc>
      </w:tr>
      <w:tr>
        <w:tc>
          <w:tcPr>
            <w:tcW w:type="dxa" w:w="2592"/>
          </w:tcPr>
          <w:p>
            <w:r>
              <w:t>Roadmap / implementatieplan</w:t>
            </w:r>
          </w:p>
        </w:tc>
        <w:tc>
          <w:tcPr>
            <w:tcW w:type="dxa" w:w="2592"/>
          </w:tcPr>
          <w:p>
            <w:r>
              <w:t>In welke volgorde gebouwd wordt</w:t>
            </w:r>
          </w:p>
        </w:tc>
        <w:tc>
          <w:tcPr>
            <w:tcW w:type="dxa" w:w="5184"/>
          </w:tcPr>
          <w:p>
            <w:r>
              <w:t>Fasen, afhankelijkheden, release criteria, exit criteria.</w:t>
            </w:r>
          </w:p>
        </w:tc>
      </w:tr>
      <w:tr>
        <w:tc>
          <w:tcPr>
            <w:tcW w:type="dxa" w:w="2592"/>
          </w:tcPr>
          <w:p>
            <w:r>
              <w:t>Decision log / ADRs</w:t>
            </w:r>
          </w:p>
        </w:tc>
        <w:tc>
          <w:tcPr>
            <w:tcW w:type="dxa" w:w="2592"/>
          </w:tcPr>
          <w:p>
            <w:r>
              <w:t>Wat definitief is besloten</w:t>
            </w:r>
          </w:p>
        </w:tc>
        <w:tc>
          <w:tcPr>
            <w:tcW w:type="dxa" w:w="5184"/>
          </w:tcPr>
          <w:p>
            <w:r>
              <w:t>Architectuur- en beleidsbesluiten met datum, eigenaar en rationale.</w:t>
            </w:r>
          </w:p>
        </w:tc>
      </w:tr>
    </w:tbl>
    <w:p/>
    <w:p>
      <w:pPr/>
      <w:r>
        <w:t>Waarom dit beter is: elk document krijgt een eigen functie. Daardoor hoef je niet meer in de hoofdtekst te raden of een zin een visie, een verplichting, een technische keuze of een latere mogelijkheid is.</w:t>
      </w:r>
    </w:p>
    <w:p>
      <w:pPr>
        <w:pStyle w:val="Heading2"/>
      </w:pPr>
      <w:r>
        <w:t>2. Voeg een harde intended-use en non-intended-use paragraaf toe</w:t>
      </w:r>
    </w:p>
    <w:p>
      <w:pPr/>
      <w:r>
        <w:t>Dit is waarschijnlijk de belangrijkste inhoudelijke verbetering. Ik zou voor de MVP zoiets vastleggen: de applicatie ondersteunt zelfmanagement en zelfobservatie van energieverdeling en dagelijkse belasting; de applicatie doet geen diagnose, geen behandeling, geen medische triage en genereert geen patiëntspecifieke klinische aanbevelingen. Vervolgens moet je ook expliciet opschrijven wat niet binnen scope valt, bijvoorbeeld geautomatiseerde behandeladviezen, medicatieadviezen, waarschuwingen die medisch handelen veronderstellen en professional dashboards die klinische besluitvorming sturen.</w:t>
      </w:r>
    </w:p>
    <w:p>
      <w:pPr/>
      <w:r>
        <w:t>Waarom dit beter is: zodra de intended use expliciet staat, worden copy, UX, analytics, clinician features, PDF-export en AI-plannen beter bestuurbaar.</w:t>
      </w:r>
    </w:p>
    <w:p>
      <w:pPr>
        <w:pStyle w:val="Heading2"/>
      </w:pPr>
      <w:r>
        <w:t>3. Maak de MVP smaller en privacyvriendelijker</w:t>
      </w:r>
    </w:p>
    <w:p>
      <w:pPr/>
      <w:r>
        <w:t>Een smallere MVP is hier geen concessie maar een kwaliteitsverbetering. Je bewijst de kernhypothese sneller en verlaagt tegelijk juridische en technische risico’s. Ik adviseer daarom een MVP-scope waarbij de app eerst vooral antwoord geeft op: “Helpt plannen plus evalueren mij om binnen mijn energie-envelop te blijven?” Pas daarna volgt de vraag: “Welke leefstijlpatronen lijken daarbij samen te hangen?”</w:t>
      </w:r>
    </w:p>
    <w:p>
      <w:pPr/>
      <w:r>
        <w:t>Praktische MVP-knip:</w:t>
      </w:r>
    </w:p>
    <w:p>
      <w:pPr>
        <w:pStyle w:val="ListBullet"/>
      </w:pPr>
      <w:r>
        <w:t>Release 1: ochtendcheck-in, planning, uitvoeren/skippen/aanpassen, dagoverzicht, weekoverzicht, PEM follow-up.</w:t>
      </w:r>
    </w:p>
    <w:p>
      <w:pPr>
        <w:pStyle w:val="ListBullet"/>
      </w:pPr>
      <w:r>
        <w:t>Release 2: beperkte gewoontesmodule met alleen laag-risico velden en expliciete opt-in.</w:t>
      </w:r>
    </w:p>
    <w:p>
      <w:pPr>
        <w:pStyle w:val="ListBullet"/>
      </w:pPr>
      <w:r>
        <w:t>Release 3: delen met anderen, pas nadat authenticatie, audit en datasegmentatie hard zijn gemaakt.</w:t>
      </w:r>
    </w:p>
    <w:p>
      <w:pPr>
        <w:pStyle w:val="ListBullet"/>
      </w:pPr>
      <w:r>
        <w:t>Release 4+: geavanceerde inzichten, AI-samenvattingen en eventuele zorgintegratie.</w:t>
      </w:r>
    </w:p>
    <w:p>
      <w:pPr>
        <w:pStyle w:val="Heading2"/>
      </w:pPr>
      <w:r>
        <w:t>4. Herontwerp het deelmodel vanuit consent, segmentatie en audit</w:t>
      </w:r>
    </w:p>
    <w:p>
      <w:pPr/>
      <w:r>
        <w:t>Het huidige idee van JSON-permissies is een redelijke start, maar de specificatie moet veel preciezer worden over de uitvoering. Ik zou delen modelleren als een echt domeinobject met de volgende eigenschappen: eigenaar, ontvanger, rol, authenticatiestatus, toestemmingsscope, geldigheidsperiode, herroepingsmoment, laatst gebruikte toegang en audit-event-referenties.</w:t>
      </w:r>
    </w:p>
    <w:p>
      <w:pPr/>
      <w:r>
        <w:t>Aanbevolen ontwerpregels:</w:t>
      </w:r>
    </w:p>
    <w:p>
      <w:pPr>
        <w:pStyle w:val="ListBullet"/>
      </w:pPr>
      <w:r>
        <w:t>Een token-link mag alleen dienen voor uitnodigen of claimen van toegang, niet als permanente toegang tot gezondheidsdata.</w:t>
      </w:r>
    </w:p>
    <w:p>
      <w:pPr>
        <w:pStyle w:val="ListBullet"/>
      </w:pPr>
      <w:r>
        <w:t>Permanente viewer-toegang vereist een geauthenticeerd account; voor zorgviewers en beheerders bij voorkeur MFA.</w:t>
      </w:r>
    </w:p>
    <w:p>
      <w:pPr>
        <w:pStyle w:val="ListBullet"/>
      </w:pPr>
      <w:r>
        <w:t>Vrije notities, middelengebruik en andere extra gevoelige velden horen in aparte tabellen of beveiligde views, zodat permissies echt afdwingbaar zijn.</w:t>
      </w:r>
    </w:p>
    <w:p>
      <w:pPr>
        <w:pStyle w:val="ListBullet"/>
      </w:pPr>
      <w:r>
        <w:t>Elke view, export en permissiewijziging levert een audit-event op.</w:t>
      </w:r>
    </w:p>
    <w:p>
      <w:pPr>
        <w:pStyle w:val="ListBullet"/>
      </w:pPr>
      <w:r>
        <w:t>De eigenaar krijgt een “wie heeft gekeken?” overzicht.</w:t>
      </w:r>
    </w:p>
    <w:p>
      <w:pPr/>
      <w:r>
        <w:t>Waarom dit beter is: gezondheidsdata delen wordt dan niet alleen “mogelijk”, maar aantoonbaar beheersbaar.</w:t>
      </w:r>
    </w:p>
    <w:p>
      <w:pPr>
        <w:pStyle w:val="Heading2"/>
      </w:pPr>
      <w:r>
        <w:t>5. Maak inzichten expliciet verantwoord en uitlegbaar</w:t>
      </w:r>
    </w:p>
    <w:p>
      <w:pPr/>
      <w:r>
        <w:t>De specificatie moet vastleggen welke rekenregels gelden voordat een inzicht zichtbaar mag worden. Ik zou bijvoorbeeld opnemen dat een patroon pas getoond wordt bij een minimum aantal relevante dagen, dat missing data expliciet worden meegewogen en dat elke kaart de gebruikte periode en het aantal observaties toont. Een strengere formulering is hier niet bureaucratisch maar beschermend; hij voorkomt dat gebruikers of zorgverleners te veel betekenis geven aan broze signalen.</w:t>
      </w:r>
    </w:p>
    <w:p>
      <w:pPr/>
      <w:r>
        <w:t>Ik zou ook opnemen dat AI pas toegestaan is wanneer er een aparte specificatie bestaat voor:</w:t>
      </w:r>
    </w:p>
    <w:p>
      <w:pPr>
        <w:pStyle w:val="ListBullet"/>
      </w:pPr>
      <w:r>
        <w:t>welke data de AI wel en niet mag ontvangen;</w:t>
      </w:r>
    </w:p>
    <w:p>
      <w:pPr>
        <w:pStyle w:val="ListBullet"/>
      </w:pPr>
      <w:r>
        <w:t>welke vendor(s) betrokken zijn en in welke regio data worden verwerkt;</w:t>
      </w:r>
    </w:p>
    <w:p>
      <w:pPr>
        <w:pStyle w:val="ListBullet"/>
      </w:pPr>
      <w:r>
        <w:t>hoe outputs gelogd en beoordeeld worden;</w:t>
      </w:r>
    </w:p>
    <w:p>
      <w:pPr>
        <w:pStyle w:val="ListBullet"/>
      </w:pPr>
      <w:r>
        <w:t>welke claims verboden zijn;</w:t>
      </w:r>
    </w:p>
    <w:p>
      <w:pPr>
        <w:pStyle w:val="ListBullet"/>
      </w:pPr>
      <w:r>
        <w:t>hoe gebruikers begrijpen dat een AI-uitkomst geen medisch advies is.</w:t>
      </w:r>
    </w:p>
    <w:p>
      <w:pPr>
        <w:pStyle w:val="Heading2"/>
      </w:pPr>
      <w:r>
        <w:t>6. Definieer niet-functionele eisen als first-class requirements</w:t>
      </w:r>
    </w:p>
    <w:p>
      <w:pPr/>
      <w:r>
        <w:t>Onderstaande eisen horen niet in losse notities maar in de kernspecificatie, met requirement-ID’s en testwijze:</w:t>
      </w:r>
    </w:p>
    <w:p>
      <w:pPr>
        <w:pStyle w:val="ListBullet"/>
      </w:pPr>
      <w:r>
        <w:t>Security: encryptie in transit, encryptie at rest, secrets management, MFA-beleid, sessiebeheer, brute-force bescherming, rate limiting.</w:t>
      </w:r>
    </w:p>
    <w:p>
      <w:pPr>
        <w:pStyle w:val="ListBullet"/>
      </w:pPr>
      <w:r>
        <w:t>Auditability: logging van login, view, export, permission changes, failed access en admin-acties.</w:t>
      </w:r>
    </w:p>
    <w:p>
      <w:pPr>
        <w:pStyle w:val="ListBullet"/>
      </w:pPr>
      <w:r>
        <w:t>Availability en herstel: back-ups, restore-tests, RPO/RTO-doelen, monitoring en alerting.</w:t>
      </w:r>
    </w:p>
    <w:p>
      <w:pPr>
        <w:pStyle w:val="ListBullet"/>
      </w:pPr>
      <w:r>
        <w:t>Privacy: bewaartermijnen per datacategorie, export en verwijdering, herroeping van consent, subprocessorregister.</w:t>
      </w:r>
    </w:p>
    <w:p>
      <w:pPr>
        <w:pStyle w:val="ListBullet"/>
      </w:pPr>
      <w:r>
        <w:t>Accessibility: WCAG-doelen, reduced motion, schaalbaarheid van tekst, mobiel bruikbaar met minimale cognitieve belasting.</w:t>
      </w:r>
    </w:p>
    <w:p>
      <w:pPr>
        <w:pStyle w:val="ListBullet"/>
      </w:pPr>
      <w:r>
        <w:t>Data quality: validaties, versiebeheer van budgets/insight-runs, timezone-beleid, conflictregels voor offline of late invoer.</w:t>
      </w:r>
    </w:p>
    <w:p>
      <w:pPr>
        <w:pStyle w:val="ListBullet"/>
      </w:pPr>
      <w:r>
        <w:t>Verification: policy-tests voor RLS en share-permissies, regressietests voor berekeningen en acceptance tests per hoofdflow.</w:t>
      </w:r>
    </w:p>
    <w:p>
      <w:pPr>
        <w:pStyle w:val="Heading2"/>
      </w:pPr>
      <w:r>
        <w:t>7. Verbeter het datamodel op enkele principiele punten</w:t>
      </w:r>
    </w:p>
    <w:p>
      <w:pPr/>
      <w:r>
        <w:t>Ik zou het huidige datamodel niet volledig weggooien, maar wel gerichter opsplitsen. Vooral deze verbeteringen zijn belangrijk:</w:t>
      </w:r>
    </w:p>
    <w:p>
      <w:pPr>
        <w:pStyle w:val="ListBullet"/>
      </w:pPr>
      <w:r>
        <w:t>Maak “consent/share grant” een expliciet model in plaats van alleen permissies in JSON.</w:t>
      </w:r>
    </w:p>
    <w:p>
      <w:pPr>
        <w:pStyle w:val="ListBullet"/>
      </w:pPr>
      <w:r>
        <w:t>Houd audit events apart bij voor toegang, export, consent en adminacties.</w:t>
      </w:r>
    </w:p>
    <w:p>
      <w:pPr>
        <w:pStyle w:val="ListBullet"/>
      </w:pPr>
      <w:r>
        <w:t>Scheid vrije notities, medicatie en habit-details van meer algemeen deelbare activiteitsrecords.</w:t>
      </w:r>
    </w:p>
    <w:p>
      <w:pPr>
        <w:pStyle w:val="ListBullet"/>
      </w:pPr>
      <w:r>
        <w:t>Versioneer berekende inzichten en budgetafleidingen zodat later herleidbaar blijft hoe een uitkomst tot stand kwam.</w:t>
      </w:r>
    </w:p>
    <w:p>
      <w:pPr>
        <w:pStyle w:val="ListBullet"/>
      </w:pPr>
      <w:r>
        <w:t>Documenteer voor elk model: doel, eigenaar, toegangen, bewaartermijn, exporteerbaarheid en delete-gedrag.</w:t>
      </w:r>
    </w:p>
    <w:p>
      <w:pPr>
        <w:pStyle w:val="Heading2"/>
      </w:pPr>
      <w:r>
        <w:t>8. Breng structuur in de requirements zelf</w:t>
      </w:r>
    </w:p>
    <w:p>
      <w:pPr/>
      <w:r>
        <w:t>De volgende versie van de specificatie moet geen verhalende opsomming blijven. Ik raad aan om alle eisen een ID en een type te geven, bijvoorbeeld FR (functioneel), PRIV, SEC, SAFE, NFR en OPS. Dat maakt review, test en change control veel eenvoudiger.</w:t>
      </w:r>
    </w:p>
    <w:p>
      <w:pPr/>
      <w:r>
        <w:t>Voorbeeldvormen:</w:t>
      </w:r>
    </w:p>
    <w:p>
      <w:pPr>
        <w:pStyle w:val="ListBullet"/>
      </w:pPr>
      <w:r>
        <w:t>FR-PLAN-001: De gebruiker moet binnen maximaal twee interacties een ochtendcheck-in kunnen opslaan.</w:t>
      </w:r>
    </w:p>
    <w:p>
      <w:pPr>
        <w:pStyle w:val="ListBullet"/>
      </w:pPr>
      <w:r>
        <w:t>PRIV-002: Alleen datavelden die noodzakelijk zijn voor de gekozen functie mogen standaard actief zijn; optionele gewoontes staan standaard uit.</w:t>
      </w:r>
    </w:p>
    <w:p>
      <w:pPr>
        <w:pStyle w:val="ListBullet"/>
      </w:pPr>
      <w:r>
        <w:t>SHARE-004: Permanente toegang tot gedeelde gezondheidsdata is alleen toegestaan voor geauthenticeerde viewers; uitnodigingstokens mogen niet dienen als blijvende toegang.</w:t>
      </w:r>
    </w:p>
    <w:p>
      <w:pPr>
        <w:pStyle w:val="ListBullet"/>
      </w:pPr>
      <w:r>
        <w:t>SAFE-003: Een patroonkaart wordt alleen getoond indien minimaal N observaties beschikbaar zijn en het aantal observaties zichtbaar wordt vermeld.</w:t>
      </w:r>
    </w:p>
    <w:p>
      <w:pPr>
        <w:pStyle w:val="ListBullet"/>
      </w:pPr>
      <w:r>
        <w:t>SEC-006: Elke weergave of export van gedeelde gezondheidsdata moet als audit-event worden vastgelegd met actor, tijdstip en datasetcategorie.</w:t>
      </w:r>
    </w:p>
    <w:p>
      <w:pPr>
        <w:pStyle w:val="Heading1"/>
      </w:pPr>
      <w:r>
        <w:t>Een verbeterde hoofdstukstructuur voor versie 0.5</w:t>
      </w:r>
    </w:p>
    <w:p>
      <w:pPr>
        <w:pStyle w:val="ListNumber"/>
      </w:pPr>
      <w:r>
        <w:t>Documentstatus, scope, doel en definities.</w:t>
      </w:r>
    </w:p>
    <w:p>
      <w:pPr>
        <w:pStyle w:val="ListNumber"/>
      </w:pPr>
      <w:r>
        <w:t>Intended use, non-intended use en doelgroepafbakening.</w:t>
      </w:r>
    </w:p>
    <w:p>
      <w:pPr>
        <w:pStyle w:val="ListNumber"/>
      </w:pPr>
      <w:r>
        <w:t>Release scope: MVP, pre-launch, later.</w:t>
      </w:r>
    </w:p>
    <w:p>
      <w:pPr>
        <w:pStyle w:val="ListNumber"/>
      </w:pPr>
      <w:r>
        <w:t>Personas, rollen en hoofdscenario’s.</w:t>
      </w:r>
    </w:p>
    <w:p>
      <w:pPr>
        <w:pStyle w:val="ListNumber"/>
      </w:pPr>
      <w:r>
        <w:t>Datacatalogus per domein: veld, doel, gevoeligheid, default, bewaartermijn, deelbaarheid.</w:t>
      </w:r>
    </w:p>
    <w:p>
      <w:pPr>
        <w:pStyle w:val="ListNumber"/>
      </w:pPr>
      <w:r>
        <w:t>Functionele requirements per module met IDs en acceptance criteria.</w:t>
      </w:r>
    </w:p>
    <w:p>
      <w:pPr>
        <w:pStyle w:val="ListNumber"/>
      </w:pPr>
      <w:r>
        <w:t>Privacy- en consentmodel.</w:t>
      </w:r>
    </w:p>
    <w:p>
      <w:pPr>
        <w:pStyle w:val="ListNumber"/>
      </w:pPr>
      <w:r>
        <w:t>Security- en toegangsmodel.</w:t>
      </w:r>
    </w:p>
    <w:p>
      <w:pPr>
        <w:pStyle w:val="ListNumber"/>
      </w:pPr>
      <w:r>
        <w:t>Clinical/safety guardrails en hazard-overzicht.</w:t>
      </w:r>
    </w:p>
    <w:p>
      <w:pPr>
        <w:pStyle w:val="ListNumber"/>
      </w:pPr>
      <w:r>
        <w:t>Insights-engine en analysegouvernance.</w:t>
      </w:r>
    </w:p>
    <w:p>
      <w:pPr>
        <w:pStyle w:val="ListNumber"/>
      </w:pPr>
      <w:r>
        <w:t>Technische architectuur en leveranciersgrenzen.</w:t>
      </w:r>
    </w:p>
    <w:p>
      <w:pPr>
        <w:pStyle w:val="ListNumber"/>
      </w:pPr>
      <w:r>
        <w:t>Test- en releasecriteria.</w:t>
      </w:r>
    </w:p>
    <w:p>
      <w:pPr>
        <w:pStyle w:val="ListNumber"/>
      </w:pPr>
      <w:r>
        <w:t>Decision log en open punten.</w:t>
      </w:r>
    </w:p>
    <w:p>
      <w:pPr/>
      <w:r>
        <w:t>Deze structuur werkt beter omdat elk besluit dan op de juiste plek landt. De lezer hoeft niet meer in tabellen en paragrafen te reconstrueren welke zin leidend is.</w:t>
      </w:r>
    </w:p>
    <w:p>
      <w:pPr>
        <w:pStyle w:val="Heading1"/>
      </w:pPr>
      <w:r>
        <w:t>Prioriteiten en aanbevolen volgorde</w:t>
      </w:r>
    </w:p>
    <w:p>
      <w:pPr/>
      <w:r>
        <w:t>Voordat verdere uitwerking plaatsvindt, zou ik deze volgorde aanhouden:</w:t>
      </w:r>
    </w:p>
    <w:p>
      <w:pPr>
        <w:pStyle w:val="ListNumber"/>
      </w:pPr>
      <w:r>
        <w:t>Consolideer de productpositionering: wellness-first of medisch pad; leg intended use vast.</w:t>
      </w:r>
    </w:p>
    <w:p>
      <w:pPr>
        <w:pStyle w:val="ListNumber"/>
      </w:pPr>
      <w:r>
        <w:t>Consolideer de basisarchitectuur: auth, hosting, subverwerkers, regio’s, exportmechanismen.</w:t>
      </w:r>
    </w:p>
    <w:p>
      <w:pPr>
        <w:pStyle w:val="ListNumber"/>
      </w:pPr>
      <w:r>
        <w:t>Voer een DPIA uit op de beoogde MVP-scope, niet op de breedste droomscope.</w:t>
      </w:r>
    </w:p>
    <w:p>
      <w:pPr>
        <w:pStyle w:val="ListNumber"/>
      </w:pPr>
      <w:r>
        <w:t>Verminder de MVP-datascope en haal de meest gevoelige categorieen tijdelijk uit de kern.</w:t>
      </w:r>
    </w:p>
    <w:p>
      <w:pPr>
        <w:pStyle w:val="ListNumber"/>
      </w:pPr>
      <w:r>
        <w:t>Herwerk delen/auth/audit als kernontwerp in plaats van latere verfijning.</w:t>
      </w:r>
    </w:p>
    <w:p>
      <w:pPr>
        <w:pStyle w:val="ListNumber"/>
      </w:pPr>
      <w:r>
        <w:t>Voeg niet-functionele eisen, safety-eisen en requirement-ID’s toe.</w:t>
      </w:r>
    </w:p>
    <w:p>
      <w:pPr>
        <w:pStyle w:val="ListNumber"/>
      </w:pPr>
      <w:r>
        <w:t>Pas daarna pas: extra habit-tracking, PDF-export, AI en bredere zorgfunctionaliteit.</w:t>
      </w:r>
    </w:p>
    <w:p>
      <w:pPr/>
      <w:r>
        <w:t>Als deze volgorde wordt aangehouden, krijg je een product dat sneller verdedigbaar is in design reviews, privacy reviews en eventuele gesprekken met zorgorganisaties.</w:t>
      </w:r>
    </w:p>
    <w:p>
      <w:pPr>
        <w:pStyle w:val="Heading1"/>
      </w:pPr>
      <w:r>
        <w:t>Slotconclusie</w:t>
      </w:r>
    </w:p>
    <w:p>
      <w:pPr/>
      <w:r>
        <w:t>De bestaande specificatie bevat een overtuigend productidee en een goed gevoel voor de doelgroep. Wat nog ontbreekt is de volwassenheid die nodig is zodra dat idee niet alleen een consumentenapp is, maar een systeem dat gevoelige gezondheidsinformatie verzamelt, daar patronen uit afleidt en die informatie eventueel met anderen deelt. De kernverbetering is daarom niet “meer features”, maar “meer scherpte”: scherpere scope, scherpere claims, scherpere eisen en scherpere governance.</w:t>
      </w:r>
    </w:p>
    <w:p>
      <w:pPr/>
      <w:r>
        <w:t>Als deze aanscherping plaatsvindt, kan de volgende versie van de specificatie uitgroeien tot een document dat tegelijk bruikbaar is voor product, engineering, legal/privacy, security en eventuele externe zorgreview. Dat is precies het niveau dat je wilt bereiken voordat je investeert in bouw, pilots en positionering richting zorgpartners.</w:t>
      </w:r>
    </w:p>
    <w:p>
      <w:pPr>
        <w:pStyle w:val="Heading1"/>
      </w:pPr>
      <w:r>
        <w:t>Bronnen en externe referenties</w:t>
      </w:r>
    </w:p>
    <w:p>
      <w:pPr>
        <w:pStyle w:val="ListNumber"/>
      </w:pPr>
      <w:r>
        <w:t xml:space="preserve">EDPB Data Protection Basics: Bevestigt dat health data onder speciale categorieen vallen en benadrukt expliciete toestemming en GDPR-beginselen. </w:t>
      </w:r>
      <w:hyperlink r:id="rId9">
        <w:r>
          <w:rPr>
            <w:color w:val="0563C1"/>
            <w:u w:val="single"/>
          </w:rPr>
          <w:t>https://www.edpb.europa.eu/sme-data-protection-guide/data-protection-basics_en</w:t>
        </w:r>
      </w:hyperlink>
    </w:p>
    <w:p>
      <w:pPr>
        <w:pStyle w:val="ListNumber"/>
      </w:pPr>
      <w:r>
        <w:t xml:space="preserve">EDPB Be Compliant: Privacy by design/default, verwerkingsregister en DPIA-criteria. </w:t>
      </w:r>
      <w:hyperlink r:id="rId10">
        <w:r>
          <w:rPr>
            <w:color w:val="0563C1"/>
            <w:u w:val="single"/>
          </w:rPr>
          <w:t>https://www.edpb.europa.eu/sme-data-protection-guide/be-compliant_en</w:t>
        </w:r>
      </w:hyperlink>
    </w:p>
    <w:p>
      <w:pPr>
        <w:pStyle w:val="ListNumber"/>
      </w:pPr>
      <w:r>
        <w:t xml:space="preserve">EDPB Data Protection Officer: Wanneer een DPO/FG verplicht kan zijn bij gevoelige data en grootschalige monitoring. </w:t>
      </w:r>
      <w:hyperlink r:id="rId11">
        <w:r>
          <w:rPr>
            <w:color w:val="0563C1"/>
            <w:u w:val="single"/>
          </w:rPr>
          <w:t>https://www.edpb.europa.eu/sme-data-protection-guide/data-protection-officer_en</w:t>
        </w:r>
      </w:hyperlink>
    </w:p>
    <w:p>
      <w:pPr>
        <w:pStyle w:val="ListNumber"/>
      </w:pPr>
      <w:r>
        <w:t xml:space="preserve">EDPB Guidelines on Article 25: Officieel kader achter privacy by design en by default. </w:t>
      </w:r>
      <w:hyperlink r:id="rId12">
        <w:r>
          <w:rPr>
            <w:color w:val="0563C1"/>
            <w:u w:val="single"/>
          </w:rPr>
          <w:t>https://www.edpb.europa.eu/our-work-tools/our-documents/guidelines/guidelines-42019-article-25-data-protection-design-and_en</w:t>
        </w:r>
      </w:hyperlink>
    </w:p>
    <w:p>
      <w:pPr>
        <w:pStyle w:val="ListNumber"/>
      </w:pPr>
      <w:r>
        <w:t xml:space="preserve">GDPR Article 9 (EUR-Lex): Wettelijke basis voor bijzondere persoonsgegevens. </w:t>
      </w:r>
      <w:hyperlink r:id="rId13">
        <w:r>
          <w:rPr>
            <w:color w:val="0563C1"/>
            <w:u w:val="single"/>
          </w:rPr>
          <w:t>https://eur-lex.europa.eu/legal-content/EN/TXT/?uri=CELEX%3A02016R0679-20160504</w:t>
        </w:r>
      </w:hyperlink>
    </w:p>
    <w:p>
      <w:pPr>
        <w:pStyle w:val="ListNumber"/>
      </w:pPr>
      <w:r>
        <w:t xml:space="preserve">NHS DTAC overview: Voorbeeld van een healthtech-assessment over clinical safety, data protection, technical security, interoperability en accessibility. </w:t>
      </w:r>
      <w:hyperlink r:id="rId14">
        <w:r>
          <w:rPr>
            <w:color w:val="0563C1"/>
            <w:u w:val="single"/>
          </w:rPr>
          <w:t>https://transform.england.nhs.uk/key-tools-and-info/digital-technology-assessment-criteria-dtac/</w:t>
        </w:r>
      </w:hyperlink>
    </w:p>
    <w:p>
      <w:pPr>
        <w:pStyle w:val="ListNumber"/>
      </w:pPr>
      <w:r>
        <w:t xml:space="preserve">NHS DCB0129: Kader voor clinical risk management bij ontwikkeling van health IT. </w:t>
      </w:r>
      <w:hyperlink r:id="rId15">
        <w:r>
          <w:rPr>
            <w:color w:val="0563C1"/>
            <w:u w:val="single"/>
          </w:rPr>
          <w:t>https://digital.nhs.uk/data-and-information/information-standards/governance/latest-activity/standards-and-collections/dcb0129-clinical-risk-management-its-application-in-the-manufacture-of-health-it-systems/</w:t>
        </w:r>
      </w:hyperlink>
    </w:p>
    <w:p>
      <w:pPr>
        <w:pStyle w:val="ListNumber"/>
      </w:pPr>
      <w:r>
        <w:t xml:space="preserve">NHS DCB0160 / Clinical risk management standards: Kader voor clinical risk management bij deployment en gebruik van health IT. </w:t>
      </w:r>
      <w:hyperlink r:id="rId16">
        <w:r>
          <w:rPr>
            <w:color w:val="0563C1"/>
            <w:u w:val="single"/>
          </w:rPr>
          <w:t>https://digital.nhs.uk/services/clinical-safety/clinical-risk-management-standards</w:t>
        </w:r>
      </w:hyperlink>
    </w:p>
    <w:p>
      <w:pPr>
        <w:pStyle w:val="ListNumber"/>
      </w:pPr>
      <w:r>
        <w:t xml:space="preserve">HL7 FHIR Security &amp; Privacy Module: Voorbeeld van expliciete modellering van consent, audit logging en provenance. </w:t>
      </w:r>
      <w:hyperlink r:id="rId17">
        <w:r>
          <w:rPr>
            <w:color w:val="0563C1"/>
            <w:u w:val="single"/>
          </w:rPr>
          <w:t>https://www.hl7.org/fhir/secpriv-module.html</w:t>
        </w:r>
      </w:hyperlink>
    </w:p>
    <w:p>
      <w:pPr>
        <w:pStyle w:val="ListNumber"/>
      </w:pPr>
      <w:r>
        <w:t xml:space="preserve">European Commission MDCG guidance index: Verwijzing naar actuele software qualification/classification guidance. </w:t>
      </w:r>
      <w:hyperlink r:id="rId18">
        <w:r>
          <w:rPr>
            <w:color w:val="0563C1"/>
            <w:u w:val="single"/>
          </w:rPr>
          <w:t>https://health.ec.europa.eu/medical-devices-sector/new-regulations/guidance-mdcg-endorsed-documents-and-other-guidance_en</w:t>
        </w:r>
      </w:hyperlink>
    </w:p>
    <w:p>
      <w:pPr>
        <w:pStyle w:val="ListNumber"/>
      </w:pPr>
      <w:r>
        <w:t xml:space="preserve">European Commission decision aid for Medical Device Software: Beslisstappen rond software die meer doet dan opslag/communicatie/simple search. </w:t>
      </w:r>
      <w:hyperlink r:id="rId19">
        <w:r>
          <w:rPr>
            <w:color w:val="0563C1"/>
            <w:u w:val="single"/>
          </w:rPr>
          <w:t>https://health.ec.europa.eu/document/download/b865d8e9-081a-4601-a91a-f120321c0491_en</w:t>
        </w:r>
      </w:hyperlink>
    </w:p>
    <w:p>
      <w:pPr>
        <w:pStyle w:val="ListNumber"/>
      </w:pPr>
      <w:r>
        <w:t xml:space="preserve">Nictiz / NEN 7510: Duidt NEN 7510 als norm voor informatiebeveiliging in de zorg. </w:t>
      </w:r>
      <w:hyperlink r:id="rId20">
        <w:r>
          <w:rPr>
            <w:color w:val="0563C1"/>
            <w:u w:val="single"/>
          </w:rPr>
          <w:t>https://nationalebibliotheek.nictiz.nl/bibliotheek/nen-7510/</w:t>
        </w:r>
      </w:hyperlink>
    </w:p>
    <w:p>
      <w:pPr>
        <w:pStyle w:val="ListNumber"/>
      </w:pPr>
      <w:r>
        <w:t xml:space="preserve">Autoriteit Persoonsgegevens: UWV sanctie / MFA-signaal: Nederlands toezichthoudersignaal over passende sterke authenticatie bij online verwerking van gezondheidsgegevens. </w:t>
      </w:r>
      <w:hyperlink r:id="rId21">
        <w:r>
          <w:rPr>
            <w:color w:val="0563C1"/>
            <w:u w:val="single"/>
          </w:rPr>
          <w:t>https://www.autoriteitpersoonsgegevens.nl/actueel/ap-dwingt-uwv-met-sanctie-gegevens-beter-te-beveiligen</w:t>
        </w:r>
      </w:hyperlink>
    </w:p>
    <w:p>
      <w:pPr/>
      <w:r>
        <w:t>Onderzoeksdatum externe bronnen: 17 april 2026.</w:t>
      </w:r>
    </w:p>
    <w:sectPr w:rsidR="00FC693F" w:rsidRPr="0006063C" w:rsidSect="00034616">
      <w:footerReference w:type="default" r:id="rId2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Verbeteradvies specificatie EnergyPace / Inspannings Monitor - 17 april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4F81BD" w:themeColor="accent1"/>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dpb.europa.eu/sme-data-protection-guide/data-protection-basics_en" TargetMode="External"/><Relationship Id="rId10" Type="http://schemas.openxmlformats.org/officeDocument/2006/relationships/hyperlink" Target="https://www.edpb.europa.eu/sme-data-protection-guide/be-compliant_en" TargetMode="External"/><Relationship Id="rId11" Type="http://schemas.openxmlformats.org/officeDocument/2006/relationships/hyperlink" Target="https://www.edpb.europa.eu/sme-data-protection-guide/data-protection-officer_en" TargetMode="External"/><Relationship Id="rId12" Type="http://schemas.openxmlformats.org/officeDocument/2006/relationships/hyperlink" Target="https://www.edpb.europa.eu/our-work-tools/our-documents/guidelines/guidelines-42019-article-25-data-protection-design-and_en" TargetMode="External"/><Relationship Id="rId13" Type="http://schemas.openxmlformats.org/officeDocument/2006/relationships/hyperlink" Target="https://eur-lex.europa.eu/legal-content/EN/TXT/?uri=CELEX%3A02016R0679-20160504" TargetMode="External"/><Relationship Id="rId14" Type="http://schemas.openxmlformats.org/officeDocument/2006/relationships/hyperlink" Target="https://transform.england.nhs.uk/key-tools-and-info/digital-technology-assessment-criteria-dtac/" TargetMode="External"/><Relationship Id="rId15" Type="http://schemas.openxmlformats.org/officeDocument/2006/relationships/hyperlink" Target="https://digital.nhs.uk/data-and-information/information-standards/governance/latest-activity/standards-and-collections/dcb0129-clinical-risk-management-its-application-in-the-manufacture-of-health-it-systems/" TargetMode="External"/><Relationship Id="rId16" Type="http://schemas.openxmlformats.org/officeDocument/2006/relationships/hyperlink" Target="https://digital.nhs.uk/services/clinical-safety/clinical-risk-management-standards" TargetMode="External"/><Relationship Id="rId17" Type="http://schemas.openxmlformats.org/officeDocument/2006/relationships/hyperlink" Target="https://www.hl7.org/fhir/secpriv-module.html" TargetMode="External"/><Relationship Id="rId18" Type="http://schemas.openxmlformats.org/officeDocument/2006/relationships/hyperlink" Target="https://health.ec.europa.eu/medical-devices-sector/new-regulations/guidance-mdcg-endorsed-documents-and-other-guidance_en" TargetMode="External"/><Relationship Id="rId19" Type="http://schemas.openxmlformats.org/officeDocument/2006/relationships/hyperlink" Target="https://health.ec.europa.eu/document/download/b865d8e9-081a-4601-a91a-f120321c0491_en" TargetMode="External"/><Relationship Id="rId20" Type="http://schemas.openxmlformats.org/officeDocument/2006/relationships/hyperlink" Target="https://nationalebibliotheek.nictiz.nl/bibliotheek/nen-7510/" TargetMode="External"/><Relationship Id="rId21" Type="http://schemas.openxmlformats.org/officeDocument/2006/relationships/hyperlink" Target="https://www.autoriteitpersoonsgegevens.nl/actueel/ap-dwingt-uwv-met-sanctie-gegevens-beter-te-beveilig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