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jc w:val="center"/>
      </w:pPr>
      <w:r>
        <w:t>Inspannings Monitor Roadmap: Wellness-first naar Eventuele Medische Track v0.2</w:t>
      </w:r>
    </w:p>
    <w:p>
      <w:pPr>
        <w:pStyle w:val="Subtitle"/>
        <w:jc w:val="center"/>
      </w:pPr>
      <w:r>
        <w:t>Gefaseerde productontwikkeling met expliciete decision gates</w:t>
        <w:br/>
        <w:t>17 april 2026</w:t>
      </w:r>
    </w:p>
    <w:p/>
    <w:p>
      <w:pPr>
        <w:pStyle w:val="Heading1"/>
      </w:pPr>
      <w:r>
        <w:t>1. Doel van deze roadmap</w:t>
      </w:r>
    </w:p>
    <w:p>
      <w:pPr/>
      <w:r>
        <w:t>Deze roadmap beschrijft hoe Inspannings Monitor gecontroleerd kan groeien vanuit een wellness/self-management MVP naar een mogelijk zwaardere productvorm in de toekomst, zonder nu al medische claims of medische scope binnen te halen. De roadmap is bewust gefaseerd om eerst productwaarde, governance en veiligheid op orde te brengen.</w:t>
      </w:r>
    </w:p>
    <w:p>
      <w:pPr>
        <w:pStyle w:val="Heading1"/>
      </w:pPr>
      <w:r>
        <w:t>2. Fase 0: Fundament vóór launch</w:t>
      </w:r>
    </w:p>
    <w:p>
      <w:pPr>
        <w:pStyle w:val="ListBullet"/>
      </w:pPr>
      <w:r>
        <w:t>Definitieve intended use en non-intended use goedkeuren.</w:t>
      </w:r>
    </w:p>
    <w:p>
      <w:pPr>
        <w:pStyle w:val="ListBullet"/>
      </w:pPr>
      <w:r>
        <w:t>MVP-scope vastleggen en extra gevoelige datacategorieen expliciet uitsluiten.</w:t>
      </w:r>
    </w:p>
    <w:p>
      <w:pPr>
        <w:pStyle w:val="ListBullet"/>
      </w:pPr>
      <w:r>
        <w:t>DPIA uitvoeren op de werkelijke launchscope.</w:t>
      </w:r>
    </w:p>
    <w:p>
      <w:pPr>
        <w:pStyle w:val="ListBullet"/>
      </w:pPr>
      <w:r>
        <w:t>Supabase Auth, Supabase PostgreSQL en Vercel als startarchitectuur formaliseren.</w:t>
      </w:r>
    </w:p>
    <w:p>
      <w:pPr>
        <w:pStyle w:val="ListBullet"/>
      </w:pPr>
      <w:r>
        <w:t>Productcopy, onboarding en inzichtteksten safety-reviewen.</w:t>
      </w:r>
    </w:p>
    <w:p>
      <w:pPr>
        <w:pStyle w:val="ListBullet"/>
      </w:pPr>
      <w:r>
        <w:t>Support- en incidentproces benoemen.</w:t>
      </w:r>
    </w:p>
    <w:p>
      <w:pPr>
        <w:pStyle w:val="Heading1"/>
      </w:pPr>
      <w:r>
        <w:t>3. Fase 1: Wellness-first MVP</w:t>
      </w:r>
    </w:p>
    <w:p>
      <w:pPr>
        <w:pStyle w:val="ListBullet"/>
      </w:pPr>
      <w:r>
        <w:t>Ochtendcheck-in, dagplanning, uitvoering/evaluatie, dag- en weekoverzicht.</w:t>
      </w:r>
    </w:p>
    <w:p>
      <w:pPr>
        <w:pStyle w:val="ListBullet"/>
      </w:pPr>
      <w:r>
        <w:t>Optionele reflectieprompt na zware dagen.</w:t>
      </w:r>
    </w:p>
    <w:p>
      <w:pPr>
        <w:pStyle w:val="ListBullet"/>
      </w:pPr>
      <w:r>
        <w:t>Geen delen met derden, geen habit-uitbreiding, geen AI, geen zorgrapportages.</w:t>
      </w:r>
    </w:p>
    <w:p>
      <w:pPr>
        <w:pStyle w:val="ListBullet"/>
      </w:pPr>
      <w:r>
        <w:t>Voertaal bij launch: alleen Nederlands.</w:t>
      </w:r>
    </w:p>
    <w:p>
      <w:pPr>
        <w:pStyle w:val="ListBullet"/>
      </w:pPr>
      <w:r>
        <w:t>Hoofddoel: bewijzen dat de kernloop waarde oplevert en laagdrempelig is.</w:t>
      </w:r>
    </w:p>
    <w:p>
      <w:pPr>
        <w:pStyle w:val="Heading1"/>
      </w:pPr>
      <w:r>
        <w:t>4. Fase 2: Beperkte uitbreiding binnen wellness</w:t>
      </w:r>
    </w:p>
    <w:p>
      <w:pPr>
        <w:pStyle w:val="ListBullet"/>
      </w:pPr>
      <w:r>
        <w:t>Verbeterde weekpatronen en transparante insightregels.</w:t>
      </w:r>
    </w:p>
    <w:p>
      <w:pPr>
        <w:pStyle w:val="ListBullet"/>
      </w:pPr>
      <w:r>
        <w:t>Eventueel beperkte extra gewoontevelden met lage gevoeligheid, alleen na aparte review.</w:t>
      </w:r>
    </w:p>
    <w:p>
      <w:pPr>
        <w:pStyle w:val="ListBullet"/>
      </w:pPr>
      <w:r>
        <w:t>Sjablonen en gebruiksgemakverbeteringen.</w:t>
      </w:r>
    </w:p>
    <w:p>
      <w:pPr>
        <w:pStyle w:val="ListBullet"/>
      </w:pPr>
      <w:r>
        <w:t>Doel: betere retentie en reflectiewaarde zonder positionering te verbreden.</w:t>
      </w:r>
    </w:p>
    <w:p>
      <w:pPr>
        <w:pStyle w:val="Heading1"/>
      </w:pPr>
      <w:r>
        <w:t>5. Fase 3: Gecontroleerd delen buiten MVP</w:t>
      </w:r>
    </w:p>
    <w:p>
      <w:pPr>
        <w:pStyle w:val="ListBullet"/>
      </w:pPr>
      <w:r>
        <w:t>Pas starten na apart ontwerp voor consent, viewer-authenticatie, audit logging en toegangsbeheer.</w:t>
      </w:r>
    </w:p>
    <w:p>
      <w:pPr>
        <w:pStyle w:val="ListBullet"/>
      </w:pPr>
      <w:r>
        <w:t>Begin bij voorkeur met een smalle share-scope en geen vrije notities of hooggevoelige velden.</w:t>
      </w:r>
    </w:p>
    <w:p>
      <w:pPr>
        <w:pStyle w:val="ListBullet"/>
      </w:pPr>
      <w:r>
        <w:t>Geen “zorgdashboard” taal zolang intended use wellness blijft.</w:t>
      </w:r>
    </w:p>
    <w:p>
      <w:pPr>
        <w:pStyle w:val="ListBullet"/>
      </w:pPr>
      <w:r>
        <w:t>Doel: delen onderzoeken zonder onbedoeld naar klinische besluitondersteuning te schuiven.</w:t>
      </w:r>
    </w:p>
    <w:p>
      <w:pPr>
        <w:pStyle w:val="Heading1"/>
      </w:pPr>
      <w:r>
        <w:t>6. Future Medical Track: aparte producttak, geen kleine feature-toggle</w:t>
      </w:r>
    </w:p>
    <w:p>
      <w:pPr/>
      <w:r>
        <w:t>Als Inspannings Monitor later een medisch product of medisch geclassificeerde software wil worden, dan moet dat worden behandeld als een aparte producttrack of minimaal als een expliciet gereguleerde release-tak. Het mag niet ontstaan doordat losse features langzaam over de grens schuiven.</w:t>
      </w:r>
    </w:p>
    <w:p>
      <w:pPr>
        <w:pStyle w:val="ListNumber"/>
      </w:pPr>
      <w:r>
        <w:t>Start met een formeel besluit over nieuwe intended use.</w:t>
      </w:r>
    </w:p>
    <w:p>
      <w:pPr>
        <w:pStyle w:val="ListNumber"/>
      </w:pPr>
      <w:r>
        <w:t>Herbeoordeel claims, clinician workflows, rapportages en data-interpretatie op MDR-impact.</w:t>
      </w:r>
    </w:p>
    <w:p>
      <w:pPr>
        <w:pStyle w:val="ListNumber"/>
      </w:pPr>
      <w:r>
        <w:t>Richt aparte documentatie in voor risicomanagement, klinische evaluatie en change control.</w:t>
      </w:r>
    </w:p>
    <w:p>
      <w:pPr>
        <w:pStyle w:val="ListNumber"/>
      </w:pPr>
      <w:r>
        <w:t>Bepaal welke onderdelen van de wellness-architectuur herbruikbaar zijn en welke opnieuw ontworpen moeten worden.</w:t>
      </w:r>
    </w:p>
    <w:p>
      <w:pPr>
        <w:pStyle w:val="ListNumber"/>
      </w:pPr>
      <w:r>
        <w:t>Maak een duidelijke scheiding tussen de wellness-productlijn en de medische productlijn in communicatie en releasebeheer.</w:t>
      </w:r>
    </w:p>
    <w:p>
      <w:pPr>
        <w:pStyle w:val="Heading1"/>
      </w:pPr>
      <w:r>
        <w:t>7. Decision gates</w:t>
      </w:r>
    </w:p>
    <w:tbl>
      <w:tblPr>
        <w:tblStyle w:val="TableGrid"/>
        <w:tblW w:type="auto" w:w="0"/>
        <w:tblLook w:firstColumn="1" w:firstRow="1" w:lastColumn="0" w:lastRow="0" w:noHBand="0" w:noVBand="1" w:val="04A0"/>
      </w:tblPr>
      <w:tblGrid>
        <w:gridCol w:w="3312"/>
        <w:gridCol w:w="3312"/>
        <w:gridCol w:w="3312"/>
      </w:tblGrid>
      <w:tr>
        <w:tc>
          <w:tcPr>
            <w:tcW w:type="dxa" w:w="3312"/>
          </w:tcPr>
          <w:p>
            <w:r>
              <w:rPr>
                <w:b/>
              </w:rPr>
              <w:t>Gate</w:t>
            </w:r>
          </w:p>
        </w:tc>
        <w:tc>
          <w:tcPr>
            <w:tcW w:type="dxa" w:w="3312"/>
          </w:tcPr>
          <w:p>
            <w:r>
              <w:rPr>
                <w:b/>
              </w:rPr>
              <w:t>Vraag</w:t>
            </w:r>
          </w:p>
        </w:tc>
        <w:tc>
          <w:tcPr>
            <w:tcW w:type="dxa" w:w="3312"/>
          </w:tcPr>
          <w:p>
            <w:r>
              <w:rPr>
                <w:b/>
              </w:rPr>
              <w:t>Minimale voorwaarde om door te gaan</w:t>
            </w:r>
          </w:p>
        </w:tc>
      </w:tr>
      <w:tr>
        <w:tc>
          <w:tcPr>
            <w:tcW w:type="dxa" w:w="3312"/>
          </w:tcPr>
          <w:p>
            <w:r>
              <w:t>Gate A</w:t>
            </w:r>
          </w:p>
        </w:tc>
        <w:tc>
          <w:tcPr>
            <w:tcW w:type="dxa" w:w="3312"/>
          </w:tcPr>
          <w:p>
            <w:r>
              <w:t>Is de wellness-positionering intern en extern scherp genoeg?</w:t>
            </w:r>
          </w:p>
        </w:tc>
        <w:tc>
          <w:tcPr>
            <w:tcW w:type="dxa" w:w="3312"/>
          </w:tcPr>
          <w:p>
            <w:r>
              <w:t>Approved intended use, non-intended use en copy-guardrails.</w:t>
            </w:r>
          </w:p>
        </w:tc>
      </w:tr>
      <w:tr>
        <w:tc>
          <w:tcPr>
            <w:tcW w:type="dxa" w:w="3312"/>
          </w:tcPr>
          <w:p>
            <w:r>
              <w:t>Gate B</w:t>
            </w:r>
          </w:p>
        </w:tc>
        <w:tc>
          <w:tcPr>
            <w:tcW w:type="dxa" w:w="3312"/>
          </w:tcPr>
          <w:p>
            <w:r>
              <w:t>Is launch juridisch en organisatorisch verantwoord?</w:t>
            </w:r>
          </w:p>
        </w:tc>
        <w:tc>
          <w:tcPr>
            <w:tcW w:type="dxa" w:w="3312"/>
          </w:tcPr>
          <w:p>
            <w:r>
              <w:t>DPIA, datacatalogus, security baseline en supportproces gereed.</w:t>
            </w:r>
          </w:p>
        </w:tc>
      </w:tr>
      <w:tr>
        <w:tc>
          <w:tcPr>
            <w:tcW w:type="dxa" w:w="3312"/>
          </w:tcPr>
          <w:p>
            <w:r>
              <w:t>Gate C</w:t>
            </w:r>
          </w:p>
        </w:tc>
        <w:tc>
          <w:tcPr>
            <w:tcW w:type="dxa" w:w="3312"/>
          </w:tcPr>
          <w:p>
            <w:r>
              <w:t>Mag sharing worden toegevoegd?</w:t>
            </w:r>
          </w:p>
        </w:tc>
        <w:tc>
          <w:tcPr>
            <w:tcW w:type="dxa" w:w="3312"/>
          </w:tcPr>
          <w:p>
            <w:r>
              <w:t>Aparte consent-, auth- en audit-architectuur plus risicoreview.</w:t>
            </w:r>
          </w:p>
        </w:tc>
      </w:tr>
      <w:tr>
        <w:tc>
          <w:tcPr>
            <w:tcW w:type="dxa" w:w="3312"/>
          </w:tcPr>
          <w:p>
            <w:r>
              <w:t>Gate D</w:t>
            </w:r>
          </w:p>
        </w:tc>
        <w:tc>
          <w:tcPr>
            <w:tcW w:type="dxa" w:w="3312"/>
          </w:tcPr>
          <w:p>
            <w:r>
              <w:t>Is een medical track gewenst?</w:t>
            </w:r>
          </w:p>
        </w:tc>
        <w:tc>
          <w:tcPr>
            <w:tcW w:type="dxa" w:w="3312"/>
          </w:tcPr>
          <w:p>
            <w:r>
              <w:t>Expliciet business- en productbesluit met budget en ownership.</w:t>
            </w:r>
          </w:p>
        </w:tc>
      </w:tr>
      <w:tr>
        <w:tc>
          <w:tcPr>
            <w:tcW w:type="dxa" w:w="3312"/>
          </w:tcPr>
          <w:p>
            <w:r>
              <w:t>Gate E</w:t>
            </w:r>
          </w:p>
        </w:tc>
        <w:tc>
          <w:tcPr>
            <w:tcW w:type="dxa" w:w="3312"/>
          </w:tcPr>
          <w:p>
            <w:r>
              <w:t>Mag een medical track worden gestart?</w:t>
            </w:r>
          </w:p>
        </w:tc>
        <w:tc>
          <w:tcPr>
            <w:tcW w:type="dxa" w:w="3312"/>
          </w:tcPr>
          <w:p>
            <w:r>
              <w:t>Nieuwe intended use, regulatoire analyse en extra kwaliteitsartefacten zijn ingepland.</w:t>
            </w:r>
          </w:p>
        </w:tc>
      </w:tr>
    </w:tbl>
    <w:p/>
    <w:p>
      <w:pPr>
        <w:pStyle w:val="Heading1"/>
      </w:pPr>
      <w:r>
        <w:t>8. Signalering dat het product richting medisch schuift</w:t>
      </w:r>
    </w:p>
    <w:p>
      <w:pPr>
        <w:pStyle w:val="ListBullet"/>
      </w:pPr>
      <w:r>
        <w:t>Er verschijnen claims over voorspellen, detecteren of verminderen van ziekte of symptomen.</w:t>
      </w:r>
    </w:p>
    <w:p>
      <w:pPr>
        <w:pStyle w:val="ListBullet"/>
      </w:pPr>
      <w:r>
        <w:t>Zorgverleners gaan op de output vertrouwen voor behandelafstemming.</w:t>
      </w:r>
    </w:p>
    <w:p>
      <w:pPr>
        <w:pStyle w:val="ListBullet"/>
      </w:pPr>
      <w:r>
        <w:t>PDF- of dashboardfunctionaliteit wordt ontworpen voor formele zorgdossiers.</w:t>
      </w:r>
    </w:p>
    <w:p>
      <w:pPr>
        <w:pStyle w:val="ListBullet"/>
      </w:pPr>
      <w:r>
        <w:t>Het systeem geeft patiëntspecifieke aanbevelingen die verder gaan dan algemene zelfreflectie.</w:t>
      </w:r>
    </w:p>
    <w:p>
      <w:pPr>
        <w:pStyle w:val="ListBullet"/>
      </w:pPr>
      <w:r>
        <w:t>Marketing of sales gebruikt klinische taal om waarde te beschrijven.</w:t>
      </w:r>
    </w:p>
    <w:p>
      <w:pPr>
        <w:pStyle w:val="Heading1"/>
      </w:pPr>
      <w:r>
        <w:t>9. Bevestigde uitgangspunten voor de eerstvolgende maanden</w:t>
      </w:r>
    </w:p>
    <w:tbl>
      <w:tblPr>
        <w:tblStyle w:val="TableGrid"/>
        <w:tblW w:type="auto" w:w="0"/>
        <w:tblLook w:firstColumn="1" w:firstRow="1" w:lastColumn="0" w:lastRow="0" w:noHBand="0" w:noVBand="1" w:val="04A0"/>
      </w:tblPr>
      <w:tblGrid>
        <w:gridCol w:w="4968"/>
        <w:gridCol w:w="4968"/>
      </w:tblGrid>
      <w:tr>
        <w:tc>
          <w:tcPr>
            <w:tcW w:type="dxa" w:w="4968"/>
          </w:tcPr>
          <w:p>
            <w:r>
              <w:rPr>
                <w:b/>
              </w:rPr>
              <w:t>Onderwerp</w:t>
            </w:r>
          </w:p>
        </w:tc>
        <w:tc>
          <w:tcPr>
            <w:tcW w:type="dxa" w:w="4968"/>
          </w:tcPr>
          <w:p>
            <w:r>
              <w:rPr>
                <w:b/>
              </w:rPr>
              <w:t>Bevestigd uitgangspunt</w:t>
            </w:r>
          </w:p>
        </w:tc>
      </w:tr>
      <w:tr>
        <w:tc>
          <w:tcPr>
            <w:tcW w:type="dxa" w:w="4968"/>
          </w:tcPr>
          <w:p>
            <w:r>
              <w:t>Productnaam</w:t>
            </w:r>
          </w:p>
        </w:tc>
        <w:tc>
          <w:tcPr>
            <w:tcW w:type="dxa" w:w="4968"/>
          </w:tcPr>
          <w:p>
            <w:r>
              <w:t>Inspannings Monitor</w:t>
            </w:r>
          </w:p>
        </w:tc>
      </w:tr>
      <w:tr>
        <w:tc>
          <w:tcPr>
            <w:tcW w:type="dxa" w:w="4968"/>
          </w:tcPr>
          <w:p>
            <w:r>
              <w:t>Doelgroep</w:t>
            </w:r>
          </w:p>
        </w:tc>
        <w:tc>
          <w:tcPr>
            <w:tcW w:type="dxa" w:w="4968"/>
          </w:tcPr>
          <w:p>
            <w:r>
              <w:t>Volwassenen</w:t>
            </w:r>
          </w:p>
        </w:tc>
      </w:tr>
      <w:tr>
        <w:tc>
          <w:tcPr>
            <w:tcW w:type="dxa" w:w="4968"/>
          </w:tcPr>
          <w:p>
            <w:r>
              <w:t>Voertaal launch</w:t>
            </w:r>
          </w:p>
        </w:tc>
        <w:tc>
          <w:tcPr>
            <w:tcW w:type="dxa" w:w="4968"/>
          </w:tcPr>
          <w:p>
            <w:r>
              <w:t>Nederlands</w:t>
            </w:r>
          </w:p>
        </w:tc>
      </w:tr>
      <w:tr>
        <w:tc>
          <w:tcPr>
            <w:tcW w:type="dxa" w:w="4968"/>
          </w:tcPr>
          <w:p>
            <w:r>
              <w:t>Launchvorm</w:t>
            </w:r>
          </w:p>
        </w:tc>
        <w:tc>
          <w:tcPr>
            <w:tcW w:type="dxa" w:w="4968"/>
          </w:tcPr>
          <w:p>
            <w:r>
              <w:t>Alleen individuele gebruikers</w:t>
            </w:r>
          </w:p>
        </w:tc>
      </w:tr>
      <w:tr>
        <w:tc>
          <w:tcPr>
            <w:tcW w:type="dxa" w:w="4968"/>
          </w:tcPr>
          <w:p>
            <w:r>
              <w:t>Hosting</w:t>
            </w:r>
          </w:p>
        </w:tc>
        <w:tc>
          <w:tcPr>
            <w:tcW w:type="dxa" w:w="4968"/>
          </w:tcPr>
          <w:p>
            <w:r>
              <w:t>Vercel</w:t>
            </w:r>
          </w:p>
        </w:tc>
      </w:tr>
      <w:tr>
        <w:tc>
          <w:tcPr>
            <w:tcW w:type="dxa" w:w="4968"/>
          </w:tcPr>
          <w:p>
            <w:r>
              <w:t>Authenticatie</w:t>
            </w:r>
          </w:p>
        </w:tc>
        <w:tc>
          <w:tcPr>
            <w:tcW w:type="dxa" w:w="4968"/>
          </w:tcPr>
          <w:p>
            <w:r>
              <w:t>Supabase Auth</w:t>
            </w:r>
          </w:p>
        </w:tc>
      </w:tr>
      <w:tr>
        <w:tc>
          <w:tcPr>
            <w:tcW w:type="dxa" w:w="4968"/>
          </w:tcPr>
          <w:p>
            <w:r>
              <w:t>Database</w:t>
            </w:r>
          </w:p>
        </w:tc>
        <w:tc>
          <w:tcPr>
            <w:tcW w:type="dxa" w:w="4968"/>
          </w:tcPr>
          <w:p>
            <w:r>
              <w:t>Supabase PostgreSQL</w:t>
            </w:r>
          </w:p>
        </w:tc>
      </w:tr>
    </w:tbl>
    <w:p/>
    <w:p>
      <w:pPr>
        <w:pStyle w:val="Heading1"/>
      </w:pPr>
      <w:r>
        <w:t>10. Aanbevolen werkvolgorde voor de komende weken</w:t>
      </w:r>
    </w:p>
    <w:p>
      <w:pPr>
        <w:pStyle w:val="ListNumber"/>
      </w:pPr>
      <w:r>
        <w:t>Maak deze v0.6-documentenset leidend en archiveer verouderde aannames uit eerdere documenten.</w:t>
      </w:r>
    </w:p>
    <w:p>
      <w:pPr>
        <w:pStyle w:val="ListNumber"/>
      </w:pPr>
      <w:r>
        <w:t>Werk de MVP uit in backlog-items op basis van requirement-ID’s.</w:t>
      </w:r>
    </w:p>
    <w:p>
      <w:pPr>
        <w:pStyle w:val="ListNumber"/>
      </w:pPr>
      <w:r>
        <w:t>Plan DPIA, security baseline en copy review parallel aan ontwerp en bouw.</w:t>
      </w:r>
    </w:p>
    <w:p>
      <w:pPr>
        <w:pStyle w:val="ListNumber"/>
      </w:pPr>
      <w:r>
        <w:t>Formuleer Vercel- en Supabase-keuzes als formeel architectuurbesluit met subprocessor-overzicht.</w:t>
      </w:r>
    </w:p>
    <w:p>
      <w:pPr>
        <w:pStyle w:val="ListNumber"/>
      </w:pPr>
      <w:r>
        <w:t>Gebruik elke scope-uitbreiding langs de decision gates in dit document.</w:t>
      </w:r>
    </w:p>
    <w:sectPr w:rsidR="00FC693F" w:rsidRPr="0006063C" w:rsidSect="00034616">
      <w:footerReference w:type="default" r:id="rId9"/>
      <w:pgSz w:w="12240" w:h="15840"/>
      <w:pgMar w:top="1152" w:right="1152" w:bottom="1152"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t>Inspannings Monitor Roadmap: Wellness-first naar Eventuele Medische Track v0.2</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w:hAnsi="Aptos"/>
      <w:b/>
      <w:bCs/>
      <w:color w:val="365F91" w:themeColor="accent1" w:themeShade="BF"/>
      <w:sz w:val="30"/>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w:hAnsi="Aptos"/>
      <w:b/>
      <w:bCs/>
      <w:color w:val="4F81BD" w:themeColor="accent1"/>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w:hAnsi="Aptos"/>
      <w:b/>
      <w:bCs/>
      <w:color w:val="4F81BD" w:themeColor="accent1"/>
      <w:sz w:val="22"/>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w:hAnsi="Aptos"/>
      <w:color w:val="17365D" w:themeColor="text2" w:themeShade="BF"/>
      <w:spacing w:val="5"/>
      <w:kern w:val="28"/>
      <w:sz w:val="44"/>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ascii="Aptos" w:hAnsi="Aptos"/>
      <w:i/>
      <w:iCs/>
      <w:color w:val="4F81BD" w:themeColor="accent1"/>
      <w:spacing w:val="15"/>
      <w:sz w:val="22"/>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