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Inspannings Monitor Privacy, Security en Safety Baseline v0.2</w:t>
      </w:r>
    </w:p>
    <w:p>
      <w:pPr>
        <w:pStyle w:val="Subtitle"/>
        <w:jc w:val="center"/>
      </w:pPr>
      <w:r>
        <w:t>Basiseisen voor een wellness-first product met gezondheidsgerelateerde data</w:t>
        <w:br/>
        <w:t>17 april 2026</w:t>
      </w:r>
    </w:p>
    <w:p/>
    <w:p>
      <w:pPr>
        <w:pStyle w:val="Heading1"/>
      </w:pPr>
      <w:r>
        <w:t>1. Documentdoel</w:t>
      </w:r>
    </w:p>
    <w:p>
      <w:pPr/>
      <w:r>
        <w:t>Dit document beschrijft de minimale privacy-, beveiligings- en safety-baseline voor de eerste wellness-first releases. Het is opgesteld om te voorkomen dat gevoelige datafunctionality sneller groeit dan governance, beveiliging en risicoafdekking.</w:t>
      </w:r>
    </w:p>
    <w:p>
      <w:pPr>
        <w:pStyle w:val="Heading1"/>
      </w:pPr>
      <w:r>
        <w:t>2. Werkhypothese voor gegevensverwerking</w:t>
      </w:r>
    </w:p>
    <w:p>
      <w:pPr/>
      <w:r>
        <w:t>Inspannings Monitor verwerkt gegevens die in context gezondheidsgerelateerd en vaak bijzonder gevoelig zijn. Daarom wordt in dit document uitgegaan van een strikte benadering: dataminimalisatie, expliciete toestemming waar nodig, terughoudendheid met extra datacategorieen en een DPIA voorafgaand aan echte gebruikersintroductie. Juridische validatie blijft nodig, maar de productdocumentatie moet nu al vanuit de strengere lezing worden ontworpen.</w:t>
      </w:r>
    </w:p>
    <w:p>
      <w:pPr>
        <w:pStyle w:val="Heading1"/>
      </w:pPr>
      <w:r>
        <w:t>3. Bevestigde technische uitgangspunten</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Onderwerp</w:t>
            </w:r>
          </w:p>
        </w:tc>
        <w:tc>
          <w:tcPr>
            <w:tcW w:type="dxa" w:w="3312"/>
          </w:tcPr>
          <w:p>
            <w:r>
              <w:rPr>
                <w:b/>
              </w:rPr>
              <w:t>Bevestigd uitgangspunt</w:t>
            </w:r>
          </w:p>
        </w:tc>
        <w:tc>
          <w:tcPr>
            <w:tcW w:type="dxa" w:w="3312"/>
          </w:tcPr>
          <w:p>
            <w:r>
              <w:rPr>
                <w:b/>
              </w:rPr>
              <w:t>Implicatie</w:t>
            </w:r>
          </w:p>
        </w:tc>
      </w:tr>
      <w:tr>
        <w:tc>
          <w:tcPr>
            <w:tcW w:type="dxa" w:w="3312"/>
          </w:tcPr>
          <w:p>
            <w:r>
              <w:t>Hosting</w:t>
            </w:r>
          </w:p>
        </w:tc>
        <w:tc>
          <w:tcPr>
            <w:tcW w:type="dxa" w:w="3312"/>
          </w:tcPr>
          <w:p>
            <w:r>
              <w:t>Vercel</w:t>
            </w:r>
          </w:p>
        </w:tc>
        <w:tc>
          <w:tcPr>
            <w:tcW w:type="dxa" w:w="3312"/>
          </w:tcPr>
          <w:p>
            <w:r>
              <w:t>Deployment- en security-instellingen moeten aansluiten op het Vercel-model.</w:t>
            </w:r>
          </w:p>
        </w:tc>
      </w:tr>
      <w:tr>
        <w:tc>
          <w:tcPr>
            <w:tcW w:type="dxa" w:w="3312"/>
          </w:tcPr>
          <w:p>
            <w:r>
              <w:t>Database</w:t>
            </w:r>
          </w:p>
        </w:tc>
        <w:tc>
          <w:tcPr>
            <w:tcW w:type="dxa" w:w="3312"/>
          </w:tcPr>
          <w:p>
            <w:r>
              <w:t>Supabase PostgreSQL</w:t>
            </w:r>
          </w:p>
        </w:tc>
        <w:tc>
          <w:tcPr>
            <w:tcW w:type="dxa" w:w="3312"/>
          </w:tcPr>
          <w:p>
            <w:r>
              <w:t>Gegevensmodellering, toegangscontrole en back-upstrategie steunen op Supabase/PostgreSQL.</w:t>
            </w:r>
          </w:p>
        </w:tc>
      </w:tr>
      <w:tr>
        <w:tc>
          <w:tcPr>
            <w:tcW w:type="dxa" w:w="3312"/>
          </w:tcPr>
          <w:p>
            <w:r>
              <w:t>Authenticatie</w:t>
            </w:r>
          </w:p>
        </w:tc>
        <w:tc>
          <w:tcPr>
            <w:tcW w:type="dxa" w:w="3312"/>
          </w:tcPr>
          <w:p>
            <w:r>
              <w:t>Supabase Auth</w:t>
            </w:r>
          </w:p>
        </w:tc>
        <w:tc>
          <w:tcPr>
            <w:tcW w:type="dxa" w:w="3312"/>
          </w:tcPr>
          <w:p>
            <w:r>
              <w:t>Identiteit, sessies en autorisatie gaan uit van Supabase Auth.</w:t>
            </w:r>
          </w:p>
        </w:tc>
      </w:tr>
      <w:tr>
        <w:tc>
          <w:tcPr>
            <w:tcW w:type="dxa" w:w="3312"/>
          </w:tcPr>
          <w:p>
            <w:r>
              <w:t>Releasevorm</w:t>
            </w:r>
          </w:p>
        </w:tc>
        <w:tc>
          <w:tcPr>
            <w:tcW w:type="dxa" w:w="3312"/>
          </w:tcPr>
          <w:p>
            <w:r>
              <w:t>Alleen individuele gebruikers</w:t>
            </w:r>
          </w:p>
        </w:tc>
        <w:tc>
          <w:tcPr>
            <w:tcW w:type="dxa" w:w="3312"/>
          </w:tcPr>
          <w:p>
            <w:r>
              <w:t>Geen sharing-architectuur in release 1.</w:t>
            </w:r>
          </w:p>
        </w:tc>
      </w:tr>
      <w:tr>
        <w:tc>
          <w:tcPr>
            <w:tcW w:type="dxa" w:w="3312"/>
          </w:tcPr>
          <w:p>
            <w:r>
              <w:t>Taal</w:t>
            </w:r>
          </w:p>
        </w:tc>
        <w:tc>
          <w:tcPr>
            <w:tcW w:type="dxa" w:w="3312"/>
          </w:tcPr>
          <w:p>
            <w:r>
              <w:t>Nederlands</w:t>
            </w:r>
          </w:p>
        </w:tc>
        <w:tc>
          <w:tcPr>
            <w:tcW w:type="dxa" w:w="3312"/>
          </w:tcPr>
          <w:p>
            <w:r>
              <w:t>Geen meertalige opslag- of vertaalpijplijn in launchscope.</w:t>
            </w:r>
          </w:p>
        </w:tc>
      </w:tr>
    </w:tbl>
    <w:p/>
    <w:p>
      <w:pPr>
        <w:pStyle w:val="Heading1"/>
      </w:pPr>
      <w:r>
        <w:t>4. Dataminimalisatie en default-instellingen</w:t>
      </w:r>
    </w:p>
    <w:tbl>
      <w:tblPr>
        <w:tblStyle w:val="TableGrid"/>
        <w:tblW w:type="auto" w:w="0"/>
        <w:tblLook w:firstColumn="1" w:firstRow="1" w:lastColumn="0" w:lastRow="0" w:noHBand="0" w:noVBand="1" w:val="04A0"/>
      </w:tblPr>
      <w:tblGrid>
        <w:gridCol w:w="2484"/>
        <w:gridCol w:w="2484"/>
        <w:gridCol w:w="2484"/>
        <w:gridCol w:w="2484"/>
      </w:tblGrid>
      <w:tr>
        <w:tc>
          <w:tcPr>
            <w:tcW w:type="dxa" w:w="2484"/>
          </w:tcPr>
          <w:p>
            <w:r>
              <w:rPr>
                <w:b/>
              </w:rPr>
              <w:t>Datadomein</w:t>
            </w:r>
          </w:p>
        </w:tc>
        <w:tc>
          <w:tcPr>
            <w:tcW w:type="dxa" w:w="2484"/>
          </w:tcPr>
          <w:p>
            <w:r>
              <w:rPr>
                <w:b/>
              </w:rPr>
              <w:t>Toelaatbaar in MVP</w:t>
            </w:r>
          </w:p>
        </w:tc>
        <w:tc>
          <w:tcPr>
            <w:tcW w:type="dxa" w:w="2484"/>
          </w:tcPr>
          <w:p>
            <w:r>
              <w:rPr>
                <w:b/>
              </w:rPr>
              <w:t>Default</w:t>
            </w:r>
          </w:p>
        </w:tc>
        <w:tc>
          <w:tcPr>
            <w:tcW w:type="dxa" w:w="2484"/>
          </w:tcPr>
          <w:p>
            <w:r>
              <w:rPr>
                <w:b/>
              </w:rPr>
              <w:t>Opmerking</w:t>
            </w:r>
          </w:p>
        </w:tc>
      </w:tr>
      <w:tr>
        <w:tc>
          <w:tcPr>
            <w:tcW w:type="dxa" w:w="2484"/>
          </w:tcPr>
          <w:p>
            <w:r>
              <w:t>Account/profiel</w:t>
            </w:r>
          </w:p>
        </w:tc>
        <w:tc>
          <w:tcPr>
            <w:tcW w:type="dxa" w:w="2484"/>
          </w:tcPr>
          <w:p>
            <w:r>
              <w:t>Ja</w:t>
            </w:r>
          </w:p>
        </w:tc>
        <w:tc>
          <w:tcPr>
            <w:tcW w:type="dxa" w:w="2484"/>
          </w:tcPr>
          <w:p>
            <w:r>
              <w:t>Minimaal</w:t>
            </w:r>
          </w:p>
        </w:tc>
        <w:tc>
          <w:tcPr>
            <w:tcW w:type="dxa" w:w="2484"/>
          </w:tcPr>
          <w:p>
            <w:r>
              <w:t>Alleen wat nodig is voor account, taal en timezone.</w:t>
            </w:r>
          </w:p>
        </w:tc>
      </w:tr>
      <w:tr>
        <w:tc>
          <w:tcPr>
            <w:tcW w:type="dxa" w:w="2484"/>
          </w:tcPr>
          <w:p>
            <w:r>
              <w:t>Energiescore en slaapkwaliteit</w:t>
            </w:r>
          </w:p>
        </w:tc>
        <w:tc>
          <w:tcPr>
            <w:tcW w:type="dxa" w:w="2484"/>
          </w:tcPr>
          <w:p>
            <w:r>
              <w:t>Ja</w:t>
            </w:r>
          </w:p>
        </w:tc>
        <w:tc>
          <w:tcPr>
            <w:tcW w:type="dxa" w:w="2484"/>
          </w:tcPr>
          <w:p>
            <w:r>
              <w:t>Actief</w:t>
            </w:r>
          </w:p>
        </w:tc>
        <w:tc>
          <w:tcPr>
            <w:tcW w:type="dxa" w:w="2484"/>
          </w:tcPr>
          <w:p>
            <w:r>
              <w:t>Kerngegevens voor intended use.</w:t>
            </w:r>
          </w:p>
        </w:tc>
      </w:tr>
      <w:tr>
        <w:tc>
          <w:tcPr>
            <w:tcW w:type="dxa" w:w="2484"/>
          </w:tcPr>
          <w:p>
            <w:r>
              <w:t>Activiteitenplanning</w:t>
            </w:r>
          </w:p>
        </w:tc>
        <w:tc>
          <w:tcPr>
            <w:tcW w:type="dxa" w:w="2484"/>
          </w:tcPr>
          <w:p>
            <w:r>
              <w:t>Ja</w:t>
            </w:r>
          </w:p>
        </w:tc>
        <w:tc>
          <w:tcPr>
            <w:tcW w:type="dxa" w:w="2484"/>
          </w:tcPr>
          <w:p>
            <w:r>
              <w:t>Actief</w:t>
            </w:r>
          </w:p>
        </w:tc>
        <w:tc>
          <w:tcPr>
            <w:tcW w:type="dxa" w:w="2484"/>
          </w:tcPr>
          <w:p>
            <w:r>
              <w:t>Kerngegevens voor intended use.</w:t>
            </w:r>
          </w:p>
        </w:tc>
      </w:tr>
      <w:tr>
        <w:tc>
          <w:tcPr>
            <w:tcW w:type="dxa" w:w="2484"/>
          </w:tcPr>
          <w:p>
            <w:r>
              <w:t>Vrije notities</w:t>
            </w:r>
          </w:p>
        </w:tc>
        <w:tc>
          <w:tcPr>
            <w:tcW w:type="dxa" w:w="2484"/>
          </w:tcPr>
          <w:p>
            <w:r>
              <w:t>Beperkt</w:t>
            </w:r>
          </w:p>
        </w:tc>
        <w:tc>
          <w:tcPr>
            <w:tcW w:type="dxa" w:w="2484"/>
          </w:tcPr>
          <w:p>
            <w:r>
              <w:t>Optioneel</w:t>
            </w:r>
          </w:p>
        </w:tc>
        <w:tc>
          <w:tcPr>
            <w:tcW w:type="dxa" w:w="2484"/>
          </w:tcPr>
          <w:p>
            <w:r>
              <w:t>Korte notities toestaan, geen uitgebreide journaling als kernflow.</w:t>
            </w:r>
          </w:p>
        </w:tc>
      </w:tr>
      <w:tr>
        <w:tc>
          <w:tcPr>
            <w:tcW w:type="dxa" w:w="2484"/>
          </w:tcPr>
          <w:p>
            <w:r>
              <w:t>Reflectie na zware dag</w:t>
            </w:r>
          </w:p>
        </w:tc>
        <w:tc>
          <w:tcPr>
            <w:tcW w:type="dxa" w:w="2484"/>
          </w:tcPr>
          <w:p>
            <w:r>
              <w:t>Ja</w:t>
            </w:r>
          </w:p>
        </w:tc>
        <w:tc>
          <w:tcPr>
            <w:tcW w:type="dxa" w:w="2484"/>
          </w:tcPr>
          <w:p>
            <w:r>
              <w:t>Opt-in</w:t>
            </w:r>
          </w:p>
        </w:tc>
        <w:tc>
          <w:tcPr>
            <w:tcW w:type="dxa" w:w="2484"/>
          </w:tcPr>
          <w:p>
            <w:r>
              <w:t>Alleen als wellness-reflectieprompt.</w:t>
            </w:r>
          </w:p>
        </w:tc>
      </w:tr>
      <w:tr>
        <w:tc>
          <w:tcPr>
            <w:tcW w:type="dxa" w:w="2484"/>
          </w:tcPr>
          <w:p>
            <w:r>
              <w:t>Delen met derden</w:t>
            </w:r>
          </w:p>
        </w:tc>
        <w:tc>
          <w:tcPr>
            <w:tcW w:type="dxa" w:w="2484"/>
          </w:tcPr>
          <w:p>
            <w:r>
              <w:t>Nee</w:t>
            </w:r>
          </w:p>
        </w:tc>
        <w:tc>
          <w:tcPr>
            <w:tcW w:type="dxa" w:w="2484"/>
          </w:tcPr>
          <w:p>
            <w:r>
              <w:t>Uit</w:t>
            </w:r>
          </w:p>
        </w:tc>
        <w:tc>
          <w:tcPr>
            <w:tcW w:type="dxa" w:w="2484"/>
          </w:tcPr>
          <w:p>
            <w:r>
              <w:t>Niet opnemen in release 1.</w:t>
            </w:r>
          </w:p>
        </w:tc>
      </w:tr>
      <w:tr>
        <w:tc>
          <w:tcPr>
            <w:tcW w:type="dxa" w:w="2484"/>
          </w:tcPr>
          <w:p>
            <w:r>
              <w:t>Medicatie</w:t>
            </w:r>
          </w:p>
        </w:tc>
        <w:tc>
          <w:tcPr>
            <w:tcW w:type="dxa" w:w="2484"/>
          </w:tcPr>
          <w:p>
            <w:r>
              <w:t>Nee</w:t>
            </w:r>
          </w:p>
        </w:tc>
        <w:tc>
          <w:tcPr>
            <w:tcW w:type="dxa" w:w="2484"/>
          </w:tcPr>
          <w:p>
            <w:r>
              <w:t>Uit</w:t>
            </w:r>
          </w:p>
        </w:tc>
        <w:tc>
          <w:tcPr>
            <w:tcW w:type="dxa" w:w="2484"/>
          </w:tcPr>
          <w:p>
            <w:r>
              <w:t>Te gevoelig voor wellness-first MVP.</w:t>
            </w:r>
          </w:p>
        </w:tc>
      </w:tr>
      <w:tr>
        <w:tc>
          <w:tcPr>
            <w:tcW w:type="dxa" w:w="2484"/>
          </w:tcPr>
          <w:p>
            <w:r>
              <w:t>Alcohol/nicotine/drugs</w:t>
            </w:r>
          </w:p>
        </w:tc>
        <w:tc>
          <w:tcPr>
            <w:tcW w:type="dxa" w:w="2484"/>
          </w:tcPr>
          <w:p>
            <w:r>
              <w:t>Nee</w:t>
            </w:r>
          </w:p>
        </w:tc>
        <w:tc>
          <w:tcPr>
            <w:tcW w:type="dxa" w:w="2484"/>
          </w:tcPr>
          <w:p>
            <w:r>
              <w:t>Uit</w:t>
            </w:r>
          </w:p>
        </w:tc>
        <w:tc>
          <w:tcPr>
            <w:tcW w:type="dxa" w:w="2484"/>
          </w:tcPr>
          <w:p>
            <w:r>
              <w:t>Niet noodzakelijk voor eerste value proof.</w:t>
            </w:r>
          </w:p>
        </w:tc>
      </w:tr>
      <w:tr>
        <w:tc>
          <w:tcPr>
            <w:tcW w:type="dxa" w:w="2484"/>
          </w:tcPr>
          <w:p>
            <w:r>
              <w:t>Geavanceerde leefstijlfactoren</w:t>
            </w:r>
          </w:p>
        </w:tc>
        <w:tc>
          <w:tcPr>
            <w:tcW w:type="dxa" w:w="2484"/>
          </w:tcPr>
          <w:p>
            <w:r>
              <w:t>Nee</w:t>
            </w:r>
          </w:p>
        </w:tc>
        <w:tc>
          <w:tcPr>
            <w:tcW w:type="dxa" w:w="2484"/>
          </w:tcPr>
          <w:p>
            <w:r>
              <w:t>Uit</w:t>
            </w:r>
          </w:p>
        </w:tc>
        <w:tc>
          <w:tcPr>
            <w:tcW w:type="dxa" w:w="2484"/>
          </w:tcPr>
          <w:p>
            <w:r>
              <w:t>Alleen later na aparte risicoafweging.</w:t>
            </w:r>
          </w:p>
        </w:tc>
      </w:tr>
    </w:tbl>
    <w:p/>
    <w:p>
      <w:pPr>
        <w:pStyle w:val="Heading1"/>
      </w:pPr>
      <w:r>
        <w:t>5. Aanbevolen privacy-eisen</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PRIV-001</w:t>
            </w:r>
          </w:p>
        </w:tc>
        <w:tc>
          <w:tcPr>
            <w:tcW w:type="dxa" w:w="4968"/>
          </w:tcPr>
          <w:p>
            <w:r>
              <w:t>Voor elke datacategorie moet een expliciet doel in documentatie zijn vastgelegd.</w:t>
            </w:r>
          </w:p>
        </w:tc>
      </w:tr>
      <w:tr>
        <w:tc>
          <w:tcPr>
            <w:tcW w:type="dxa" w:w="4968"/>
          </w:tcPr>
          <w:p>
            <w:r>
              <w:t>PRIV-002</w:t>
            </w:r>
          </w:p>
        </w:tc>
        <w:tc>
          <w:tcPr>
            <w:tcW w:type="dxa" w:w="4968"/>
          </w:tcPr>
          <w:p>
            <w:r>
              <w:t>Niet-noodzakelijke datavelden staan standaard uit of bestaan nog niet in de MVP.</w:t>
            </w:r>
          </w:p>
        </w:tc>
      </w:tr>
      <w:tr>
        <w:tc>
          <w:tcPr>
            <w:tcW w:type="dxa" w:w="4968"/>
          </w:tcPr>
          <w:p>
            <w:r>
              <w:t>PRIV-003</w:t>
            </w:r>
          </w:p>
        </w:tc>
        <w:tc>
          <w:tcPr>
            <w:tcW w:type="dxa" w:w="4968"/>
          </w:tcPr>
          <w:p>
            <w:r>
              <w:t>De gebruiker kan eigen data exporteren en verwijderen via een duidelijk proces.</w:t>
            </w:r>
          </w:p>
        </w:tc>
      </w:tr>
      <w:tr>
        <w:tc>
          <w:tcPr>
            <w:tcW w:type="dxa" w:w="4968"/>
          </w:tcPr>
          <w:p>
            <w:r>
              <w:t>PRIV-004</w:t>
            </w:r>
          </w:p>
        </w:tc>
        <w:tc>
          <w:tcPr>
            <w:tcW w:type="dxa" w:w="4968"/>
          </w:tcPr>
          <w:p>
            <w:r>
              <w:t>Bewaartermijnen worden per datadomein vastgesteld voor launch.</w:t>
            </w:r>
          </w:p>
        </w:tc>
      </w:tr>
      <w:tr>
        <w:tc>
          <w:tcPr>
            <w:tcW w:type="dxa" w:w="4968"/>
          </w:tcPr>
          <w:p>
            <w:r>
              <w:t>PRIV-005</w:t>
            </w:r>
          </w:p>
        </w:tc>
        <w:tc>
          <w:tcPr>
            <w:tcW w:type="dxa" w:w="4968"/>
          </w:tcPr>
          <w:p>
            <w:r>
              <w:t>Er is vóór launch een DPIA uitgevoerd op de daadwerkelijke MVP-scope.</w:t>
            </w:r>
          </w:p>
        </w:tc>
      </w:tr>
      <w:tr>
        <w:tc>
          <w:tcPr>
            <w:tcW w:type="dxa" w:w="4968"/>
          </w:tcPr>
          <w:p>
            <w:r>
              <w:t>PRIV-006</w:t>
            </w:r>
          </w:p>
        </w:tc>
        <w:tc>
          <w:tcPr>
            <w:tcW w:type="dxa" w:w="4968"/>
          </w:tcPr>
          <w:p>
            <w:r>
              <w:t>Subverwerkers, regio’s en dataflows zijn in een apart register vastgelegd.</w:t>
            </w:r>
          </w:p>
        </w:tc>
      </w:tr>
      <w:tr>
        <w:tc>
          <w:tcPr>
            <w:tcW w:type="dxa" w:w="4968"/>
          </w:tcPr>
          <w:p>
            <w:r>
              <w:t>PRIV-007</w:t>
            </w:r>
          </w:p>
        </w:tc>
        <w:tc>
          <w:tcPr>
            <w:tcW w:type="dxa" w:w="4968"/>
          </w:tcPr>
          <w:p>
            <w:r>
              <w:t>Marketingcopy en onboarding mogen geen bredere verwerking suggereren dan feitelijk plaatsvindt.</w:t>
            </w:r>
          </w:p>
        </w:tc>
      </w:tr>
    </w:tbl>
    <w:p/>
    <w:p>
      <w:pPr>
        <w:pStyle w:val="Heading1"/>
      </w:pPr>
      <w:r>
        <w:t>6. Aanbevolen security-eisen</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SEC-001</w:t>
            </w:r>
          </w:p>
        </w:tc>
        <w:tc>
          <w:tcPr>
            <w:tcW w:type="dxa" w:w="4968"/>
          </w:tcPr>
          <w:p>
            <w:r>
              <w:t>Alle netwerkcommunicatie verloopt via moderne TLS-configuratie.</w:t>
            </w:r>
          </w:p>
        </w:tc>
      </w:tr>
      <w:tr>
        <w:tc>
          <w:tcPr>
            <w:tcW w:type="dxa" w:w="4968"/>
          </w:tcPr>
          <w:p>
            <w:r>
              <w:t>SEC-002</w:t>
            </w:r>
          </w:p>
        </w:tc>
        <w:tc>
          <w:tcPr>
            <w:tcW w:type="dxa" w:w="4968"/>
          </w:tcPr>
          <w:p>
            <w:r>
              <w:t>Gegevens worden versleuteld opgeslagen op platformniveau en waar nodig aanvullend logisch afgescheiden.</w:t>
            </w:r>
          </w:p>
        </w:tc>
      </w:tr>
      <w:tr>
        <w:tc>
          <w:tcPr>
            <w:tcW w:type="dxa" w:w="4968"/>
          </w:tcPr>
          <w:p>
            <w:r>
              <w:t>SEC-003</w:t>
            </w:r>
          </w:p>
        </w:tc>
        <w:tc>
          <w:tcPr>
            <w:tcW w:type="dxa" w:w="4968"/>
          </w:tcPr>
          <w:p>
            <w:r>
              <w:t>Sessiebeheer voorkomt onbeperkte of onzichtbare langdurige toegang.</w:t>
            </w:r>
          </w:p>
        </w:tc>
      </w:tr>
      <w:tr>
        <w:tc>
          <w:tcPr>
            <w:tcW w:type="dxa" w:w="4968"/>
          </w:tcPr>
          <w:p>
            <w:r>
              <w:t>SEC-004</w:t>
            </w:r>
          </w:p>
        </w:tc>
        <w:tc>
          <w:tcPr>
            <w:tcW w:type="dxa" w:w="4968"/>
          </w:tcPr>
          <w:p>
            <w:r>
              <w:t>Rate limiting en basisbescherming tegen misbruik zijn actief op auth- en mutatieroutes.</w:t>
            </w:r>
          </w:p>
        </w:tc>
      </w:tr>
      <w:tr>
        <w:tc>
          <w:tcPr>
            <w:tcW w:type="dxa" w:w="4968"/>
          </w:tcPr>
          <w:p>
            <w:r>
              <w:t>SEC-005</w:t>
            </w:r>
          </w:p>
        </w:tc>
        <w:tc>
          <w:tcPr>
            <w:tcW w:type="dxa" w:w="4968"/>
          </w:tcPr>
          <w:p>
            <w:r>
              <w:t>Beheer- en supporttoegang is rolgebonden, minimaal en auditbaar.</w:t>
            </w:r>
          </w:p>
        </w:tc>
      </w:tr>
      <w:tr>
        <w:tc>
          <w:tcPr>
            <w:tcW w:type="dxa" w:w="4968"/>
          </w:tcPr>
          <w:p>
            <w:r>
              <w:t>SEC-006</w:t>
            </w:r>
          </w:p>
        </w:tc>
        <w:tc>
          <w:tcPr>
            <w:tcW w:type="dxa" w:w="4968"/>
          </w:tcPr>
          <w:p>
            <w:r>
              <w:t>Belangrijke gebeurtenissen zoals login, mislukte toegang, data-export en accountverwijdering worden gelogd.</w:t>
            </w:r>
          </w:p>
        </w:tc>
      </w:tr>
      <w:tr>
        <w:tc>
          <w:tcPr>
            <w:tcW w:type="dxa" w:w="4968"/>
          </w:tcPr>
          <w:p>
            <w:r>
              <w:t>SEC-007</w:t>
            </w:r>
          </w:p>
        </w:tc>
        <w:tc>
          <w:tcPr>
            <w:tcW w:type="dxa" w:w="4968"/>
          </w:tcPr>
          <w:p>
            <w:r>
              <w:t>Back-ups en hersteltests zijn gedefinieerd vóór launch.</w:t>
            </w:r>
          </w:p>
        </w:tc>
      </w:tr>
      <w:tr>
        <w:tc>
          <w:tcPr>
            <w:tcW w:type="dxa" w:w="4968"/>
          </w:tcPr>
          <w:p>
            <w:r>
              <w:t>SEC-008</w:t>
            </w:r>
          </w:p>
        </w:tc>
        <w:tc>
          <w:tcPr>
            <w:tcW w:type="dxa" w:w="4968"/>
          </w:tcPr>
          <w:p>
            <w:r>
              <w:t>Secrets worden niet in code of clientside configuratie opgeslagen.</w:t>
            </w:r>
          </w:p>
        </w:tc>
      </w:tr>
    </w:tbl>
    <w:p/>
    <w:p>
      <w:pPr>
        <w:pStyle w:val="Heading1"/>
      </w:pPr>
      <w:r>
        <w:t>7. Safety- en content guardrails</w:t>
      </w:r>
    </w:p>
    <w:tbl>
      <w:tblPr>
        <w:tblStyle w:val="TableGrid"/>
        <w:tblW w:type="auto" w:w="0"/>
        <w:tblLook w:firstColumn="1" w:firstRow="1" w:lastColumn="0" w:lastRow="0" w:noHBand="0" w:noVBand="1" w:val="04A0"/>
      </w:tblPr>
      <w:tblGrid>
        <w:gridCol w:w="4968"/>
        <w:gridCol w:w="4968"/>
      </w:tblGrid>
      <w:tr>
        <w:tc>
          <w:tcPr>
            <w:tcW w:type="dxa" w:w="4968"/>
          </w:tcPr>
          <w:p>
            <w:r>
              <w:rPr>
                <w:b/>
              </w:rPr>
              <w:t>ID</w:t>
            </w:r>
          </w:p>
        </w:tc>
        <w:tc>
          <w:tcPr>
            <w:tcW w:type="dxa" w:w="4968"/>
          </w:tcPr>
          <w:p>
            <w:r>
              <w:rPr>
                <w:b/>
              </w:rPr>
              <w:t>Eis</w:t>
            </w:r>
          </w:p>
        </w:tc>
      </w:tr>
      <w:tr>
        <w:tc>
          <w:tcPr>
            <w:tcW w:type="dxa" w:w="4968"/>
          </w:tcPr>
          <w:p>
            <w:r>
              <w:t>SAFE-001</w:t>
            </w:r>
          </w:p>
        </w:tc>
        <w:tc>
          <w:tcPr>
            <w:tcW w:type="dxa" w:w="4968"/>
          </w:tcPr>
          <w:p>
            <w:r>
              <w:t>Het product gebruikt geen diagnose-, behandel- of voorspellende taal in de wellness-first fase.</w:t>
            </w:r>
          </w:p>
        </w:tc>
      </w:tr>
      <w:tr>
        <w:tc>
          <w:tcPr>
            <w:tcW w:type="dxa" w:w="4968"/>
          </w:tcPr>
          <w:p>
            <w:r>
              <w:t>SAFE-002</w:t>
            </w:r>
          </w:p>
        </w:tc>
        <w:tc>
          <w:tcPr>
            <w:tcW w:type="dxa" w:w="4968"/>
          </w:tcPr>
          <w:p>
            <w:r>
              <w:t>Reflectieprompts worden gepresenteerd als zelfreflectie, niet als medische waarschuwing.</w:t>
            </w:r>
          </w:p>
        </w:tc>
      </w:tr>
      <w:tr>
        <w:tc>
          <w:tcPr>
            <w:tcW w:type="dxa" w:w="4968"/>
          </w:tcPr>
          <w:p>
            <w:r>
              <w:t>SAFE-003</w:t>
            </w:r>
          </w:p>
        </w:tc>
        <w:tc>
          <w:tcPr>
            <w:tcW w:type="dxa" w:w="4968"/>
          </w:tcPr>
          <w:p>
            <w:r>
              <w:t>Inzichten tonen alleen patronen bij voldoende data en vermelden periode en aantal observaties waar relevant.</w:t>
            </w:r>
          </w:p>
        </w:tc>
      </w:tr>
      <w:tr>
        <w:tc>
          <w:tcPr>
            <w:tcW w:type="dxa" w:w="4968"/>
          </w:tcPr>
          <w:p>
            <w:r>
              <w:t>SAFE-004</w:t>
            </w:r>
          </w:p>
        </w:tc>
        <w:tc>
          <w:tcPr>
            <w:tcW w:type="dxa" w:w="4968"/>
          </w:tcPr>
          <w:p>
            <w:r>
              <w:t>De app toont geen advies om medicatie te wijzigen, zorg uit te stellen of medisch handelen te vervangen.</w:t>
            </w:r>
          </w:p>
        </w:tc>
      </w:tr>
      <w:tr>
        <w:tc>
          <w:tcPr>
            <w:tcW w:type="dxa" w:w="4968"/>
          </w:tcPr>
          <w:p>
            <w:r>
              <w:t>SAFE-005</w:t>
            </w:r>
          </w:p>
        </w:tc>
        <w:tc>
          <w:tcPr>
            <w:tcW w:type="dxa" w:w="4968"/>
          </w:tcPr>
          <w:p>
            <w:r>
              <w:t>De onboarding en helpteksten bevatten een heldere noodgevallen- en niet-medische disclaimer.</w:t>
            </w:r>
          </w:p>
        </w:tc>
      </w:tr>
      <w:tr>
        <w:tc>
          <w:tcPr>
            <w:tcW w:type="dxa" w:w="4968"/>
          </w:tcPr>
          <w:p>
            <w:r>
              <w:t>SAFE-006</w:t>
            </w:r>
          </w:p>
        </w:tc>
        <w:tc>
          <w:tcPr>
            <w:tcW w:type="dxa" w:w="4968"/>
          </w:tcPr>
          <w:p>
            <w:r>
              <w:t>Nieuwe claims of clinician-facing functies vereisen aparte review voordat ze in product en copy verschijnen.</w:t>
            </w:r>
          </w:p>
        </w:tc>
      </w:tr>
    </w:tbl>
    <w:p/>
    <w:p>
      <w:pPr>
        <w:pStyle w:val="Heading1"/>
      </w:pPr>
      <w:r>
        <w:t>8. Hoogste productrisico’s in deze fase</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Risico</w:t>
            </w:r>
          </w:p>
        </w:tc>
        <w:tc>
          <w:tcPr>
            <w:tcW w:type="dxa" w:w="3312"/>
          </w:tcPr>
          <w:p>
            <w:r>
              <w:rPr>
                <w:b/>
              </w:rPr>
              <w:t>Waarom relevant</w:t>
            </w:r>
          </w:p>
        </w:tc>
        <w:tc>
          <w:tcPr>
            <w:tcW w:type="dxa" w:w="3312"/>
          </w:tcPr>
          <w:p>
            <w:r>
              <w:rPr>
                <w:b/>
              </w:rPr>
              <w:t>Mitigatie in deze documentatie</w:t>
            </w:r>
          </w:p>
        </w:tc>
      </w:tr>
      <w:tr>
        <w:tc>
          <w:tcPr>
            <w:tcW w:type="dxa" w:w="3312"/>
          </w:tcPr>
          <w:p>
            <w:r>
              <w:t>Te brede datascope</w:t>
            </w:r>
          </w:p>
        </w:tc>
        <w:tc>
          <w:tcPr>
            <w:tcW w:type="dxa" w:w="3312"/>
          </w:tcPr>
          <w:p>
            <w:r>
              <w:t>Meer gevoelige data dan nodig verhoogt risico en governance-last.</w:t>
            </w:r>
          </w:p>
        </w:tc>
        <w:tc>
          <w:tcPr>
            <w:tcW w:type="dxa" w:w="3312"/>
          </w:tcPr>
          <w:p>
            <w:r>
              <w:t>Scope beperken tot energie, slaapkwaliteit, activiteiten en korte reflectie.</w:t>
            </w:r>
          </w:p>
        </w:tc>
      </w:tr>
      <w:tr>
        <w:tc>
          <w:tcPr>
            <w:tcW w:type="dxa" w:w="3312"/>
          </w:tcPr>
          <w:p>
            <w:r>
              <w:t>Te medische copy</w:t>
            </w:r>
          </w:p>
        </w:tc>
        <w:tc>
          <w:tcPr>
            <w:tcW w:type="dxa" w:w="3312"/>
          </w:tcPr>
          <w:p>
            <w:r>
              <w:t>Kan product regulatoir opschuiven en gebruikers verkeerd laten vertrouwen.</w:t>
            </w:r>
          </w:p>
        </w:tc>
        <w:tc>
          <w:tcPr>
            <w:tcW w:type="dxa" w:w="3312"/>
          </w:tcPr>
          <w:p>
            <w:r>
              <w:t>Intended use en non-intended use expliciet vastleggen.</w:t>
            </w:r>
          </w:p>
        </w:tc>
      </w:tr>
      <w:tr>
        <w:tc>
          <w:tcPr>
            <w:tcW w:type="dxa" w:w="3312"/>
          </w:tcPr>
          <w:p>
            <w:r>
              <w:t>Schijnzekerheid in inzichten</w:t>
            </w:r>
          </w:p>
        </w:tc>
        <w:tc>
          <w:tcPr>
            <w:tcW w:type="dxa" w:w="3312"/>
          </w:tcPr>
          <w:p>
            <w:r>
              <w:t>Gebruiker kan patronen als feiten of voorspellingen lezen.</w:t>
            </w:r>
          </w:p>
        </w:tc>
        <w:tc>
          <w:tcPr>
            <w:tcW w:type="dxa" w:w="3312"/>
          </w:tcPr>
          <w:p>
            <w:r>
              <w:t>Alleen eenvoudige, uitlegbare regels en guardrails.</w:t>
            </w:r>
          </w:p>
        </w:tc>
      </w:tr>
      <w:tr>
        <w:tc>
          <w:tcPr>
            <w:tcW w:type="dxa" w:w="3312"/>
          </w:tcPr>
          <w:p>
            <w:r>
              <w:t>Onvoldoende zicht op datatoegang</w:t>
            </w:r>
          </w:p>
        </w:tc>
        <w:tc>
          <w:tcPr>
            <w:tcW w:type="dxa" w:w="3312"/>
          </w:tcPr>
          <w:p>
            <w:r>
              <w:t>Gezondheidsgerelateerde data vragen auditability.</w:t>
            </w:r>
          </w:p>
        </w:tc>
        <w:tc>
          <w:tcPr>
            <w:tcW w:type="dxa" w:w="3312"/>
          </w:tcPr>
          <w:p>
            <w:r>
              <w:t>Audit logging en rolgebonden beheer als launch-voorwaarde.</w:t>
            </w:r>
          </w:p>
        </w:tc>
      </w:tr>
      <w:tr>
        <w:tc>
          <w:tcPr>
            <w:tcW w:type="dxa" w:w="3312"/>
          </w:tcPr>
          <w:p>
            <w:r>
              <w:t>Premature sharing</w:t>
            </w:r>
          </w:p>
        </w:tc>
        <w:tc>
          <w:tcPr>
            <w:tcW w:type="dxa" w:w="3312"/>
          </w:tcPr>
          <w:p>
            <w:r>
              <w:t>Delen met derden vergroot privacy- en securityrisico sterk.</w:t>
            </w:r>
          </w:p>
        </w:tc>
        <w:tc>
          <w:tcPr>
            <w:tcW w:type="dxa" w:w="3312"/>
          </w:tcPr>
          <w:p>
            <w:r>
              <w:t>Geen sharing in release 1; pas later na apart ontwerp.</w:t>
            </w:r>
          </w:p>
        </w:tc>
      </w:tr>
    </w:tbl>
    <w:p/>
    <w:p>
      <w:pPr>
        <w:pStyle w:val="Heading1"/>
      </w:pPr>
      <w:r>
        <w:t>9. Pre-launch artefacten die verplicht gereed moeten zijn</w:t>
      </w:r>
    </w:p>
    <w:p>
      <w:pPr>
        <w:pStyle w:val="ListNumber"/>
      </w:pPr>
      <w:r>
        <w:t>DPIA op de werkelijke MVP-scope.</w:t>
      </w:r>
    </w:p>
    <w:p>
      <w:pPr>
        <w:pStyle w:val="ListNumber"/>
      </w:pPr>
      <w:r>
        <w:t>Datacatalogus met per veld doel, gevoeligheid, bewaartermijn en toegangsmodel.</w:t>
      </w:r>
    </w:p>
    <w:p>
      <w:pPr>
        <w:pStyle w:val="ListNumber"/>
      </w:pPr>
      <w:r>
        <w:t>Subprocessor- en regio-overzicht voor onder meer Vercel en Supabase.</w:t>
      </w:r>
    </w:p>
    <w:p>
      <w:pPr>
        <w:pStyle w:val="ListNumber"/>
      </w:pPr>
      <w:r>
        <w:t>Beveiligingsbaselines voor authenticatie, logging, back-up en incidentafhandeling.</w:t>
      </w:r>
    </w:p>
    <w:p>
      <w:pPr>
        <w:pStyle w:val="ListNumber"/>
      </w:pPr>
      <w:r>
        <w:t>Safety review van productcopy, onboarding en insightformuleringen.</w:t>
      </w:r>
    </w:p>
    <w:p>
      <w:pPr>
        <w:pStyle w:val="ListNumber"/>
      </w:pPr>
      <w:r>
        <w:t>Besluitdocument waarin expliciet is vastgelegd dat delen met derden buiten de launchscope valt.</w:t>
      </w:r>
    </w:p>
    <w:p>
      <w:pPr>
        <w:pStyle w:val="Heading1"/>
      </w:pPr>
      <w:r>
        <w:t>10. Externe referenties</w:t>
      </w:r>
    </w:p>
    <w:p>
      <w:pPr>
        <w:pStyle w:val="ListBullet"/>
      </w:pPr>
      <w:r>
        <w:t xml:space="preserve">EDPB Data Protection Basics: </w:t>
      </w:r>
      <w:hyperlink r:id="rId9">
        <w:r>
          <w:rPr>
            <w:color w:val="0563C1"/>
            <w:u w:val="single"/>
          </w:rPr>
          <w:t>https://www.edpb.europa.eu/sme-data-protection-guide/data-protection-basics_en</w:t>
        </w:r>
      </w:hyperlink>
    </w:p>
    <w:p>
      <w:pPr>
        <w:pStyle w:val="ListBullet"/>
      </w:pPr>
      <w:r>
        <w:t xml:space="preserve">EDPB Be Compliant: </w:t>
      </w:r>
      <w:hyperlink r:id="rId10">
        <w:r>
          <w:rPr>
            <w:color w:val="0563C1"/>
            <w:u w:val="single"/>
          </w:rPr>
          <w:t>https://www.edpb.europa.eu/sme-data-protection-guide/be-compliant_en</w:t>
        </w:r>
      </w:hyperlink>
    </w:p>
    <w:p>
      <w:pPr>
        <w:pStyle w:val="ListBullet"/>
      </w:pPr>
      <w:r>
        <w:t xml:space="preserve">GDPR via EUR-Lex: </w:t>
      </w:r>
      <w:hyperlink r:id="rId11">
        <w:r>
          <w:rPr>
            <w:color w:val="0563C1"/>
            <w:u w:val="single"/>
          </w:rPr>
          <w:t>https://eur-lex.europa.eu/eli/reg/2016/679/oj/eng</w:t>
        </w:r>
      </w:hyperlink>
    </w:p>
    <w:p>
      <w:pPr>
        <w:pStyle w:val="ListBullet"/>
      </w:pPr>
      <w:r>
        <w:t xml:space="preserve">NHS DTAC: </w:t>
      </w:r>
      <w:hyperlink r:id="rId12">
        <w:r>
          <w:rPr>
            <w:color w:val="0563C1"/>
            <w:u w:val="single"/>
          </w:rPr>
          <w:t>https://transform.england.nhs.uk/key-tools-and-info/digital-technology-assessment-criteria-dtac/</w:t>
        </w:r>
      </w:hyperlink>
    </w:p>
    <w:p>
      <w:pPr>
        <w:pStyle w:val="ListBullet"/>
      </w:pPr>
      <w:r>
        <w:t xml:space="preserve">NHS Clinical Risk Management Standards: </w:t>
      </w:r>
      <w:hyperlink r:id="rId13">
        <w:r>
          <w:rPr>
            <w:color w:val="0563C1"/>
            <w:u w:val="single"/>
          </w:rPr>
          <w:t>https://digital.nhs.uk/services/clinical-safety/clinical-risk-management-standards</w:t>
        </w:r>
      </w:hyperlink>
    </w:p>
    <w:p>
      <w:pPr>
        <w:pStyle w:val="ListBullet"/>
      </w:pPr>
      <w:r>
        <w:t xml:space="preserve">HL7 FHIR Security &amp; Privacy: </w:t>
      </w:r>
      <w:hyperlink r:id="rId14">
        <w:r>
          <w:rPr>
            <w:color w:val="0563C1"/>
            <w:u w:val="single"/>
          </w:rPr>
          <w:t>https://www.hl7.org/fhir/secpriv-module.html</w:t>
        </w:r>
      </w:hyperlink>
    </w:p>
    <w:p>
      <w:pPr>
        <w:pStyle w:val="ListBullet"/>
      </w:pPr>
      <w:r>
        <w:t xml:space="preserve">European Commission MDCG guidance index: </w:t>
      </w:r>
      <w:hyperlink r:id="rId15">
        <w:r>
          <w:rPr>
            <w:color w:val="0563C1"/>
            <w:u w:val="single"/>
          </w:rPr>
          <w:t>https://health.ec.europa.eu/medical-devices-sector/new-regulations/guidance-mdcg-endorsed-documents-and-other-guidance_en</w:t>
        </w:r>
      </w:hyperlink>
    </w:p>
    <w:p>
      <w:pPr>
        <w:pStyle w:val="ListBullet"/>
      </w:pPr>
      <w:r>
        <w:t xml:space="preserve">Nictiz over NEN 7510: </w:t>
      </w:r>
      <w:hyperlink r:id="rId16">
        <w:r>
          <w:rPr>
            <w:color w:val="0563C1"/>
            <w:u w:val="single"/>
          </w:rPr>
          <w:t>https://nationalebibliotheek.nictiz.nl/bibliotheek/nen-7510/</w:t>
        </w:r>
      </w:hyperlink>
    </w:p>
    <w:sectPr w:rsidR="00FC693F" w:rsidRPr="0006063C" w:rsidSect="00034616">
      <w:footerReference w:type="default" r:id="rId17"/>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Inspannings Monitor Privacy, Security en Safety Baseline v0.2</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edpb.europa.eu/sme-data-protection-guide/data-protection-basics_en" TargetMode="External"/><Relationship Id="rId10" Type="http://schemas.openxmlformats.org/officeDocument/2006/relationships/hyperlink" Target="https://www.edpb.europa.eu/sme-data-protection-guide/be-compliant_en" TargetMode="External"/><Relationship Id="rId11" Type="http://schemas.openxmlformats.org/officeDocument/2006/relationships/hyperlink" Target="https://eur-lex.europa.eu/eli/reg/2016/679/oj/eng" TargetMode="External"/><Relationship Id="rId12" Type="http://schemas.openxmlformats.org/officeDocument/2006/relationships/hyperlink" Target="https://transform.england.nhs.uk/key-tools-and-info/digital-technology-assessment-criteria-dtac/" TargetMode="External"/><Relationship Id="rId13" Type="http://schemas.openxmlformats.org/officeDocument/2006/relationships/hyperlink" Target="https://digital.nhs.uk/services/clinical-safety/clinical-risk-management-standards" TargetMode="External"/><Relationship Id="rId14" Type="http://schemas.openxmlformats.org/officeDocument/2006/relationships/hyperlink" Target="https://www.hl7.org/fhir/secpriv-module.html" TargetMode="External"/><Relationship Id="rId15" Type="http://schemas.openxmlformats.org/officeDocument/2006/relationships/hyperlink" Target="https://health.ec.europa.eu/medical-devices-sector/new-regulations/guidance-mdcg-endorsed-documents-and-other-guidance_en" TargetMode="External"/><Relationship Id="rId16" Type="http://schemas.openxmlformats.org/officeDocument/2006/relationships/hyperlink" Target="https://nationalebibliotheek.nictiz.nl/bibliotheek/nen-7510/" TargetMode="External"/><Relationship Id="rId1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