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Inspannings Monitor Productkader en Positionering v0.6</w:t>
      </w:r>
    </w:p>
    <w:p>
      <w:pPr>
        <w:pStyle w:val="Subtitle"/>
        <w:jc w:val="center"/>
      </w:pPr>
      <w:r>
        <w:t>Wellness/self-management-route met expliciet opengehouden future medical track</w:t>
        <w:br/>
        <w:t>17 april 2026</w:t>
      </w:r>
    </w:p>
    <w:p/>
    <w:p>
      <w:pPr>
        <w:pStyle w:val="Heading1"/>
      </w:pPr>
      <w:r>
        <w:t>1. Documentdoel</w:t>
      </w:r>
    </w:p>
    <w:p>
      <w:pPr/>
      <w:r>
        <w:t>Dit document legt de strategische productpositie van Inspannings Monitor vast voor de eerstvolgende versies. Het voorkomt dat marketing, product, ontwerp en engineering verschillende aannames gebruiken over wat het product wel en niet is. De gekozen route is bewust: eerst een wellness/self-management product, later eventueel een aparte medische producttrack als daar bewijs, middelen en governance voor zijn.</w:t>
      </w:r>
    </w:p>
    <w:p>
      <w:pPr>
        <w:pStyle w:val="Heading1"/>
      </w:pPr>
      <w:r>
        <w:t>2. Besluit</w:t>
      </w:r>
    </w:p>
    <w:p>
      <w:pPr/>
      <w:r>
        <w:t>Inspannings Monitor wordt in de MVP en de direct daaropvolgende releases gepositioneerd als een wellness/self-management product. Het ondersteunt zelfobservatie, planning en reflectie rondom energie, belasting en herstel. Het product is in deze fase uitdrukkelijk geen medisch hulpmiddel, geen diagnostisch systeem en geen behandelondersteunend klinisch systeem.</w:t>
      </w:r>
    </w:p>
    <w:p>
      <w:pPr>
        <w:pStyle w:val="Heading1"/>
      </w:pPr>
      <w:r>
        <w:t>3. Intended Use</w:t>
      </w:r>
    </w:p>
    <w:p>
      <w:pPr/>
      <w:r>
        <w:t>Inspannings Monitor helpt volwassenen gebruikers met wisselende of beperkte energiereserves om hun dagelijkse activiteiten te plannen, uit te voeren en te evalueren in relatie tot hun ervaren energie. Het product ondersteunt gebruikers bij zelfmanagement door een eenvoudige plan-doe-evalueer cyclus, wekelijkse terugblik en optionele reflectieprompts na zwaardere dagen.</w:t>
      </w:r>
    </w:p>
    <w:p>
      <w:pPr>
        <w:pStyle w:val="Heading1"/>
      </w:pPr>
      <w:r>
        <w:t>4. Non-Intended Use</w:t>
      </w:r>
    </w:p>
    <w:p>
      <w:pPr>
        <w:pStyle w:val="ListBullet"/>
      </w:pPr>
      <w:r>
        <w:t>Inspannings Monitor is niet bedoeld voor diagnose, behandeling, preventie, monitoring of voorspelling van een ziekte in medische zin.</w:t>
      </w:r>
    </w:p>
    <w:p>
      <w:pPr>
        <w:pStyle w:val="ListBullet"/>
      </w:pPr>
      <w:r>
        <w:t>Inspannings Monitor geeft geen patiëntspecifiek medisch advies, geen triage en geen therapeutische aanbevelingen.</w:t>
      </w:r>
    </w:p>
    <w:p>
      <w:pPr>
        <w:pStyle w:val="ListBullet"/>
      </w:pPr>
      <w:r>
        <w:t>Inspannings Monitor is niet bedoeld om behandelbesluiten van een arts of andere zorgprofessional te sturen.</w:t>
      </w:r>
    </w:p>
    <w:p>
      <w:pPr>
        <w:pStyle w:val="ListBullet"/>
      </w:pPr>
      <w:r>
        <w:t>Inspannings Monitor is niet bedoeld als noodhulpmiddel of voor spoedsituaties.</w:t>
      </w:r>
    </w:p>
    <w:p>
      <w:pPr>
        <w:pStyle w:val="ListBullet"/>
      </w:pPr>
      <w:r>
        <w:t>Inspannings Monitor is niet bedoeld als formele bron voor opname in een patiëntendossier in de wellness-first fase.</w:t>
      </w:r>
    </w:p>
    <w:p>
      <w:pPr>
        <w:pStyle w:val="Heading1"/>
      </w:pPr>
      <w:r>
        <w:t>5. Productprincipes</w:t>
      </w:r>
    </w:p>
    <w:p>
      <w:pPr>
        <w:pStyle w:val="ListBullet"/>
      </w:pPr>
      <w:r>
        <w:t>Minimale gebruikslast: de gebruiker heeft weinig energie; elke interactie moet zuinig zijn.</w:t>
      </w:r>
    </w:p>
    <w:p>
      <w:pPr>
        <w:pStyle w:val="ListBullet"/>
      </w:pPr>
      <w:r>
        <w:t>Geen oordeel: het product toont patronen, geen morele duiding.</w:t>
      </w:r>
    </w:p>
    <w:p>
      <w:pPr>
        <w:pStyle w:val="ListBullet"/>
      </w:pPr>
      <w:r>
        <w:t>Privacy by default: alleen noodzakelijke data, standaard zo beperkt mogelijk.</w:t>
      </w:r>
    </w:p>
    <w:p>
      <w:pPr>
        <w:pStyle w:val="ListBullet"/>
      </w:pPr>
      <w:r>
        <w:t>Uitlegbare inzichten: transparante regels boven slimme maar ondoorzichtige uitkomsten.</w:t>
      </w:r>
    </w:p>
    <w:p>
      <w:pPr>
        <w:pStyle w:val="ListBullet"/>
      </w:pPr>
      <w:r>
        <w:t>Wellness claims alleen: copy en UI mogen de gekozen intended use niet overschrijden.</w:t>
      </w:r>
    </w:p>
    <w:p>
      <w:pPr>
        <w:pStyle w:val="ListBullet"/>
      </w:pPr>
      <w:r>
        <w:t>Medical-ready fundament: documentatie, logging en architectuur moeten latere aanscherping mogelijk maken zonder nu al medische claims te maken.</w:t>
      </w:r>
    </w:p>
    <w:p>
      <w:pPr>
        <w:pStyle w:val="Heading1"/>
      </w:pPr>
      <w:r>
        <w:t>6. Primaire doelgroep</w:t>
      </w:r>
    </w:p>
    <w:p>
      <w:pPr>
        <w:pStyle w:val="ListBullet"/>
      </w:pPr>
      <w:r>
        <w:t>Volwassenen met chronische of terugkerende vermoeidheid die meer grip willen op hun dagindeling en energieverdeling.</w:t>
      </w:r>
    </w:p>
    <w:p>
      <w:pPr>
        <w:pStyle w:val="ListBullet"/>
      </w:pPr>
      <w:r>
        <w:t>Mensen die baat hebben bij gestructureerde zelfobservatie zonder behoefte aan een klinische app of zorgintegratie in de eerste fase.</w:t>
      </w:r>
    </w:p>
    <w:p>
      <w:pPr>
        <w:pStyle w:val="Heading1"/>
      </w:pPr>
      <w:r>
        <w:t>7. Rollen in de wellness-first fase</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Rol</w:t>
            </w:r>
          </w:p>
        </w:tc>
        <w:tc>
          <w:tcPr>
            <w:tcW w:type="dxa" w:w="3312"/>
          </w:tcPr>
          <w:p>
            <w:r>
              <w:rPr>
                <w:b/>
              </w:rPr>
              <w:t>Toegelaten in MVP</w:t>
            </w:r>
          </w:p>
        </w:tc>
        <w:tc>
          <w:tcPr>
            <w:tcW w:type="dxa" w:w="3312"/>
          </w:tcPr>
          <w:p>
            <w:r>
              <w:rPr>
                <w:b/>
              </w:rPr>
              <w:t>Toelichting</w:t>
            </w:r>
          </w:p>
        </w:tc>
      </w:tr>
      <w:tr>
        <w:tc>
          <w:tcPr>
            <w:tcW w:type="dxa" w:w="3312"/>
          </w:tcPr>
          <w:p>
            <w:r>
              <w:t>Gebruiker/eigenaar</w:t>
            </w:r>
          </w:p>
        </w:tc>
        <w:tc>
          <w:tcPr>
            <w:tcW w:type="dxa" w:w="3312"/>
          </w:tcPr>
          <w:p>
            <w:r>
              <w:t>Ja</w:t>
            </w:r>
          </w:p>
        </w:tc>
        <w:tc>
          <w:tcPr>
            <w:tcW w:type="dxa" w:w="3312"/>
          </w:tcPr>
          <w:p>
            <w:r>
              <w:t>Beheert eigen gegevens, check-ins, activiteiten en persoonlijke instellingen.</w:t>
            </w:r>
          </w:p>
        </w:tc>
      </w:tr>
      <w:tr>
        <w:tc>
          <w:tcPr>
            <w:tcW w:type="dxa" w:w="3312"/>
          </w:tcPr>
          <w:p>
            <w:r>
              <w:t>Zorgverlener</w:t>
            </w:r>
          </w:p>
        </w:tc>
        <w:tc>
          <w:tcPr>
            <w:tcW w:type="dxa" w:w="3312"/>
          </w:tcPr>
          <w:p>
            <w:r>
              <w:t>Nee</w:t>
            </w:r>
          </w:p>
        </w:tc>
        <w:tc>
          <w:tcPr>
            <w:tcW w:type="dxa" w:w="3312"/>
          </w:tcPr>
          <w:p>
            <w:r>
              <w:t>Geen viewerrol in release 1; blijft buiten scope tot een latere fase.</w:t>
            </w:r>
          </w:p>
        </w:tc>
      </w:tr>
      <w:tr>
        <w:tc>
          <w:tcPr>
            <w:tcW w:type="dxa" w:w="3312"/>
          </w:tcPr>
          <w:p>
            <w:r>
              <w:t>Naaste/mantelzorger</w:t>
            </w:r>
          </w:p>
        </w:tc>
        <w:tc>
          <w:tcPr>
            <w:tcW w:type="dxa" w:w="3312"/>
          </w:tcPr>
          <w:p>
            <w:r>
              <w:t>Nee</w:t>
            </w:r>
          </w:p>
        </w:tc>
        <w:tc>
          <w:tcPr>
            <w:tcW w:type="dxa" w:w="3312"/>
          </w:tcPr>
          <w:p>
            <w:r>
              <w:t>Geen live delen in release 1; privacy en veiligheidskaders eerst aanscherpen.</w:t>
            </w:r>
          </w:p>
        </w:tc>
      </w:tr>
      <w:tr>
        <w:tc>
          <w:tcPr>
            <w:tcW w:type="dxa" w:w="3312"/>
          </w:tcPr>
          <w:p>
            <w:r>
              <w:t>Admin/support</w:t>
            </w:r>
          </w:p>
        </w:tc>
        <w:tc>
          <w:tcPr>
            <w:tcW w:type="dxa" w:w="3312"/>
          </w:tcPr>
          <w:p>
            <w:r>
              <w:t>Beperkt</w:t>
            </w:r>
          </w:p>
        </w:tc>
        <w:tc>
          <w:tcPr>
            <w:tcW w:type="dxa" w:w="3312"/>
          </w:tcPr>
          <w:p>
            <w:r>
              <w:t>Alleen systeembeheer waar strikt noodzakelijk, met logging en rolgebonden toegang.</w:t>
            </w:r>
          </w:p>
        </w:tc>
      </w:tr>
    </w:tbl>
    <w:p/>
    <w:p>
      <w:pPr>
        <w:pStyle w:val="Heading1"/>
      </w:pPr>
      <w:r>
        <w:t>8. MVP-scope</w:t>
      </w:r>
    </w:p>
    <w:p>
      <w:pPr>
        <w:pStyle w:val="ListBullet"/>
      </w:pPr>
      <w:r>
        <w:t>Ochtend energie check-in met vaste schaal en slaapkwaliteit.</w:t>
      </w:r>
    </w:p>
    <w:p>
      <w:pPr>
        <w:pStyle w:val="ListBullet"/>
      </w:pPr>
      <w:r>
        <w:t>Activiteiten plannen voor de dag binnen een eenvoudig energiebudgetmodel.</w:t>
      </w:r>
    </w:p>
    <w:p>
      <w:pPr>
        <w:pStyle w:val="ListBullet"/>
      </w:pPr>
      <w:r>
        <w:t>Activiteiten markeren als uitgevoerd, geskipt of aangepast.</w:t>
      </w:r>
    </w:p>
    <w:p>
      <w:pPr>
        <w:pStyle w:val="ListBullet"/>
      </w:pPr>
      <w:r>
        <w:t>Dagoverzicht en weekoverzicht met eenvoudige, uitlegbare patronen.</w:t>
      </w:r>
    </w:p>
    <w:p>
      <w:pPr>
        <w:pStyle w:val="ListBullet"/>
      </w:pPr>
      <w:r>
        <w:t>Optionele reflectieprompt op T+1 en T+2 na een zware of overschreden dag.</w:t>
      </w:r>
    </w:p>
    <w:p>
      <w:pPr>
        <w:pStyle w:val="ListBullet"/>
      </w:pPr>
      <w:r>
        <w:t>Basisinstellingen voor taal, timezone, zichtbaarheid van energiebudgetpunten en herinneringen.</w:t>
      </w:r>
    </w:p>
    <w:p>
      <w:pPr>
        <w:pStyle w:val="Heading1"/>
      </w:pPr>
      <w:r>
        <w:t>9. Uitdrukkelijk buiten scope voor MVP</w:t>
      </w:r>
    </w:p>
    <w:p>
      <w:pPr>
        <w:pStyle w:val="ListBullet"/>
      </w:pPr>
      <w:r>
        <w:t>Delen met zorgverleners, naasten of andere viewers.</w:t>
      </w:r>
    </w:p>
    <w:p>
      <w:pPr>
        <w:pStyle w:val="ListBullet"/>
      </w:pPr>
      <w:r>
        <w:t>PDF-export voor patiëntendossiers of formele zorgrapportage.</w:t>
      </w:r>
    </w:p>
    <w:p>
      <w:pPr>
        <w:pStyle w:val="ListBullet"/>
      </w:pPr>
      <w:r>
        <w:t>Medicatie-tracking, drugs/middelen-logging, nicotine-logging en andere extra gevoelige habit-tracking.</w:t>
      </w:r>
    </w:p>
    <w:p>
      <w:pPr>
        <w:pStyle w:val="ListBullet"/>
      </w:pPr>
      <w:r>
        <w:t>AI-gegenereerde inzichten of vrije tekstinterpretatie door een model.</w:t>
      </w:r>
    </w:p>
    <w:p>
      <w:pPr>
        <w:pStyle w:val="ListBullet"/>
      </w:pPr>
      <w:r>
        <w:t>Claims over voorspellen van PEM, ziekteverloop of behandeladvies.</w:t>
      </w:r>
    </w:p>
    <w:p>
      <w:pPr>
        <w:pStyle w:val="ListBullet"/>
      </w:pPr>
      <w:r>
        <w:t>Integraties met EPD, wearables of externe medische databronnen.</w:t>
      </w:r>
    </w:p>
    <w:p>
      <w:pPr>
        <w:pStyle w:val="Heading1"/>
      </w:pPr>
      <w:r>
        <w:t>10. Claim- en copy-guardrails</w:t>
      </w:r>
    </w:p>
    <w:p>
      <w:pPr>
        <w:pStyle w:val="ListBullet"/>
      </w:pPr>
      <w:r>
        <w:t>Wel toegestaan: “helpt je plannen”, “maakt patronen zichtbaar”, “ondersteunt zelfmanagement”, “helpt je terugkijken op je energieverdeling”.</w:t>
      </w:r>
    </w:p>
    <w:p>
      <w:pPr>
        <w:pStyle w:val="ListBullet"/>
      </w:pPr>
      <w:r>
        <w:t>Niet toegestaan: “voorspelt crashes”, “detecteert PEM”, “ondersteunt behandelbesluiten”, “geschikt voor patiëntendossier”, “klinisch gevalideerd” tenzij dat later aantoonbaar klopt.</w:t>
      </w:r>
    </w:p>
    <w:p>
      <w:pPr>
        <w:pStyle w:val="ListBullet"/>
      </w:pPr>
      <w:r>
        <w:t>Elke insightkaart gebruikt patroon-taal: “in jouw data lijkt … samen te hangen met …”, nooit causale taal.</w:t>
      </w:r>
    </w:p>
    <w:p>
      <w:pPr>
        <w:pStyle w:val="ListBullet"/>
      </w:pPr>
      <w:r>
        <w:t>Elke reflectieprompt verwijst niet naar risico of medische noodzaak, maar naar zelfreflectie en terugblik.</w:t>
      </w:r>
    </w:p>
    <w:p>
      <w:pPr>
        <w:pStyle w:val="Heading1"/>
      </w:pPr>
      <w:r>
        <w:t>11. Bevestigde productkeuzes voor deze versie</w:t>
      </w:r>
    </w:p>
    <w:tbl>
      <w:tblPr>
        <w:tblStyle w:val="TableGrid"/>
        <w:tblW w:type="auto" w:w="0"/>
        <w:tblLook w:firstColumn="1" w:firstRow="1" w:lastColumn="0" w:lastRow="0" w:noHBand="0" w:noVBand="1" w:val="04A0"/>
      </w:tblPr>
      <w:tblGrid>
        <w:gridCol w:w="4968"/>
        <w:gridCol w:w="4968"/>
      </w:tblGrid>
      <w:tr>
        <w:tc>
          <w:tcPr>
            <w:tcW w:type="dxa" w:w="4968"/>
          </w:tcPr>
          <w:p>
            <w:r>
              <w:rPr>
                <w:b/>
              </w:rPr>
              <w:t>Onderwerp</w:t>
            </w:r>
          </w:p>
        </w:tc>
        <w:tc>
          <w:tcPr>
            <w:tcW w:type="dxa" w:w="4968"/>
          </w:tcPr>
          <w:p>
            <w:r>
              <w:rPr>
                <w:b/>
              </w:rPr>
              <w:t>Besluit</w:t>
            </w:r>
          </w:p>
        </w:tc>
      </w:tr>
      <w:tr>
        <w:tc>
          <w:tcPr>
            <w:tcW w:type="dxa" w:w="4968"/>
          </w:tcPr>
          <w:p>
            <w:r>
              <w:t>Productnaam</w:t>
            </w:r>
          </w:p>
        </w:tc>
        <w:tc>
          <w:tcPr>
            <w:tcW w:type="dxa" w:w="4968"/>
          </w:tcPr>
          <w:p>
            <w:r>
              <w:t>Inspannings Monitor</w:t>
            </w:r>
          </w:p>
        </w:tc>
      </w:tr>
      <w:tr>
        <w:tc>
          <w:tcPr>
            <w:tcW w:type="dxa" w:w="4968"/>
          </w:tcPr>
          <w:p>
            <w:r>
              <w:t>Doelgroep</w:t>
            </w:r>
          </w:p>
        </w:tc>
        <w:tc>
          <w:tcPr>
            <w:tcW w:type="dxa" w:w="4968"/>
          </w:tcPr>
          <w:p>
            <w:r>
              <w:t>Volwassenen</w:t>
            </w:r>
          </w:p>
        </w:tc>
      </w:tr>
      <w:tr>
        <w:tc>
          <w:tcPr>
            <w:tcW w:type="dxa" w:w="4968"/>
          </w:tcPr>
          <w:p>
            <w:r>
              <w:t>Release 1</w:t>
            </w:r>
          </w:p>
        </w:tc>
        <w:tc>
          <w:tcPr>
            <w:tcW w:type="dxa" w:w="4968"/>
          </w:tcPr>
          <w:p>
            <w:r>
              <w:t>Alleen individuele gebruikers</w:t>
            </w:r>
          </w:p>
        </w:tc>
      </w:tr>
      <w:tr>
        <w:tc>
          <w:tcPr>
            <w:tcW w:type="dxa" w:w="4968"/>
          </w:tcPr>
          <w:p>
            <w:r>
              <w:t>Voertaal eerste release</w:t>
            </w:r>
          </w:p>
        </w:tc>
        <w:tc>
          <w:tcPr>
            <w:tcW w:type="dxa" w:w="4968"/>
          </w:tcPr>
          <w:p>
            <w:r>
              <w:t>Nederlands</w:t>
            </w:r>
          </w:p>
        </w:tc>
      </w:tr>
      <w:tr>
        <w:tc>
          <w:tcPr>
            <w:tcW w:type="dxa" w:w="4968"/>
          </w:tcPr>
          <w:p>
            <w:r>
              <w:t>Hosting</w:t>
            </w:r>
          </w:p>
        </w:tc>
        <w:tc>
          <w:tcPr>
            <w:tcW w:type="dxa" w:w="4968"/>
          </w:tcPr>
          <w:p>
            <w:r>
              <w:t>Vercel</w:t>
            </w:r>
          </w:p>
        </w:tc>
      </w:tr>
      <w:tr>
        <w:tc>
          <w:tcPr>
            <w:tcW w:type="dxa" w:w="4968"/>
          </w:tcPr>
          <w:p>
            <w:r>
              <w:t>Database</w:t>
            </w:r>
          </w:p>
        </w:tc>
        <w:tc>
          <w:tcPr>
            <w:tcW w:type="dxa" w:w="4968"/>
          </w:tcPr>
          <w:p>
            <w:r>
              <w:t>Supabase PostgreSQL</w:t>
            </w:r>
          </w:p>
        </w:tc>
      </w:tr>
      <w:tr>
        <w:tc>
          <w:tcPr>
            <w:tcW w:type="dxa" w:w="4968"/>
          </w:tcPr>
          <w:p>
            <w:r>
              <w:t>Authenticatie</w:t>
            </w:r>
          </w:p>
        </w:tc>
        <w:tc>
          <w:tcPr>
            <w:tcW w:type="dxa" w:w="4968"/>
          </w:tcPr>
          <w:p>
            <w:r>
              <w:t>Supabase Auth</w:t>
            </w:r>
          </w:p>
        </w:tc>
      </w:tr>
    </w:tbl>
    <w:p/>
    <w:p>
      <w:pPr>
        <w:pStyle w:val="Heading1"/>
      </w:pPr>
      <w:r>
        <w:t>12. Voorwaarden om later een medische producttrack te starten</w:t>
      </w:r>
    </w:p>
    <w:p>
      <w:pPr>
        <w:pStyle w:val="ListNumber"/>
      </w:pPr>
      <w:r>
        <w:t>Er is een expliciet strategisch besluit om intended use te verbreden naar een medisch doel.</w:t>
      </w:r>
    </w:p>
    <w:p>
      <w:pPr>
        <w:pStyle w:val="ListNumber"/>
      </w:pPr>
      <w:r>
        <w:t>Er is aparte documentatie voor de medische variant of medische release-tak.</w:t>
      </w:r>
    </w:p>
    <w:p>
      <w:pPr>
        <w:pStyle w:val="ListNumber"/>
      </w:pPr>
      <w:r>
        <w:t>Claims, clinician workflows en rapportage worden opnieuw beoordeeld op MDR-consequenties.</w:t>
      </w:r>
    </w:p>
    <w:p>
      <w:pPr>
        <w:pStyle w:val="ListNumber"/>
      </w:pPr>
      <w:r>
        <w:t>Er is budget en eigenaarschap voor risicomanagement, klinische evaluatie, kwaliteitsmanagement en post-market verplichtingen.</w:t>
      </w:r>
    </w:p>
    <w:p>
      <w:pPr>
        <w:pStyle w:val="ListNumber"/>
      </w:pPr>
      <w:r>
        <w:t>De wellness-versie en de toekomstige medische variant krijgen duidelijke change control en traceerbaarheid.</w:t>
      </w:r>
    </w:p>
    <w:p>
      <w:pPr>
        <w:pStyle w:val="Heading1"/>
      </w:pPr>
      <w:r>
        <w:t>13. Succescriteria voor de wellness-first fase</w:t>
      </w:r>
    </w:p>
    <w:p>
      <w:pPr>
        <w:pStyle w:val="ListBullet"/>
      </w:pPr>
      <w:r>
        <w:t>Gebruikers kunnen de kernloop dagelijks gebruiken zonder hoge cognitieve belasting.</w:t>
      </w:r>
    </w:p>
    <w:p>
      <w:pPr>
        <w:pStyle w:val="ListBullet"/>
      </w:pPr>
      <w:r>
        <w:t>Gebruikers ervaren de app als ondersteunend en niet normatief of veroordelend.</w:t>
      </w:r>
    </w:p>
    <w:p>
      <w:pPr>
        <w:pStyle w:val="ListBullet"/>
      </w:pPr>
      <w:r>
        <w:t>De eerste release verwerkt alleen data die nodig is voor het beoogde wellness-doel.</w:t>
      </w:r>
    </w:p>
    <w:p>
      <w:pPr>
        <w:pStyle w:val="ListBullet"/>
      </w:pPr>
      <w:r>
        <w:t>De documentatie is sterk genoeg voor productreview, privacyreview en securityreview.</w:t>
      </w:r>
    </w:p>
    <w:p>
      <w:pPr>
        <w:pStyle w:val="ListBullet"/>
      </w:pPr>
      <w:r>
        <w:t>Het product blijft inhoudelijk en qua copy binnen de wellness-positionering.</w:t>
      </w:r>
    </w:p>
    <w:sectPr w:rsidR="00FC693F" w:rsidRPr="0006063C" w:rsidSect="00034616">
      <w:footerReference w:type="default" r:id="rId9"/>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Inspannings Monitor Productkader en Positionering v0.6</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